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64AE3">
      <w:pPr>
        <w:keepNext w:val="0"/>
        <w:keepLines w:val="0"/>
        <w:pageBreakBefore w:val="0"/>
        <w:widowControl w:val="0"/>
        <w:numPr>
          <w:ilvl w:val="0"/>
          <w:numId w:val="0"/>
        </w:numPr>
        <w:kinsoku/>
        <w:wordWrap/>
        <w:overflowPunct/>
        <w:topLinePunct w:val="0"/>
        <w:autoSpaceDE/>
        <w:autoSpaceDN/>
        <w:bidi w:val="0"/>
        <w:adjustRightInd/>
        <w:snapToGrid/>
        <w:spacing w:after="156" w:afterLines="50" w:line="600" w:lineRule="exact"/>
        <w:ind w:left="0" w:leftChars="0" w:right="0" w:rightChars="0" w:firstLine="0" w:firstLineChars="0"/>
        <w:jc w:val="both"/>
        <w:textAlignment w:val="auto"/>
        <w:outlineLvl w:val="9"/>
        <w:rPr>
          <w:rFonts w:hint="eastAsia" w:ascii="黑体" w:hAnsi="黑体" w:eastAsia="黑体" w:cs="黑体"/>
          <w:color w:val="000000"/>
          <w:sz w:val="32"/>
          <w:szCs w:val="32"/>
          <w:highlight w:val="none"/>
          <w:lang w:val="en-US" w:eastAsia="zh-CN"/>
        </w:rPr>
      </w:pPr>
      <w:bookmarkStart w:id="1" w:name="_GoBack"/>
      <w:bookmarkEnd w:id="1"/>
      <mc:AlternateContent>
        <mc:Choice Requires="wpsCustomData">
          <wpsCustomData:docfieldStart id="0" docfieldname="内容" hidden="0" print="1" readonly="0" index="10"/>
        </mc:Choice>
      </mc:AlternateContent>
      <w:r>
        <w:rPr>
          <w:rFonts w:hint="eastAsia" w:ascii="黑体" w:hAnsi="黑体" w:eastAsia="黑体" w:cs="黑体"/>
          <w:color w:val="000000"/>
          <w:sz w:val="32"/>
          <w:szCs w:val="32"/>
          <w:highlight w:val="none"/>
          <w:lang w:val="en-US" w:eastAsia="zh-CN"/>
        </w:rPr>
        <w:t>附件</w:t>
      </w:r>
    </w:p>
    <w:p w14:paraId="04B9326E">
      <w:pPr>
        <w:keepNext w:val="0"/>
        <w:keepLines w:val="0"/>
        <w:pageBreakBefore w:val="0"/>
        <w:widowControl w:val="0"/>
        <w:numPr>
          <w:ilvl w:val="0"/>
          <w:numId w:val="0"/>
        </w:numPr>
        <w:kinsoku/>
        <w:wordWrap/>
        <w:overflowPunct w:val="0"/>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养老机构检查事项清单</w:t>
      </w:r>
    </w:p>
    <w:p w14:paraId="163795DA">
      <w:pPr>
        <w:keepNext w:val="0"/>
        <w:keepLines w:val="0"/>
        <w:pageBreakBefore w:val="0"/>
        <w:widowControl w:val="0"/>
        <w:numPr>
          <w:ilvl w:val="0"/>
          <w:numId w:val="0"/>
        </w:numPr>
        <w:kinsoku/>
        <w:wordWrap/>
        <w:overflowPunct/>
        <w:topLinePunct w:val="0"/>
        <w:autoSpaceDE/>
        <w:autoSpaceDN/>
        <w:bidi w:val="0"/>
        <w:adjustRightInd/>
        <w:snapToGrid/>
        <w:spacing w:after="156" w:afterLines="50" w:line="60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30"/>
          <w:szCs w:val="30"/>
          <w:highlight w:val="none"/>
          <w:lang w:val="en-US" w:eastAsia="zh-CN"/>
        </w:rPr>
      </w:pPr>
      <w:r>
        <w:rPr>
          <w:rFonts w:hint="eastAsia" w:ascii="方正仿宋_GBK" w:hAnsi="方正仿宋_GBK" w:eastAsia="方正仿宋_GBK" w:cs="方正仿宋_GBK"/>
          <w:color w:val="000000"/>
          <w:sz w:val="30"/>
          <w:szCs w:val="30"/>
          <w:highlight w:val="none"/>
          <w:lang w:val="en-US" w:eastAsia="zh-CN"/>
        </w:rPr>
        <w:t>（标注</w:t>
      </w:r>
      <w:r>
        <w:rPr>
          <w:rFonts w:hint="eastAsia" w:ascii="方正仿宋_GBK" w:hAnsi="方正仿宋_GBK" w:eastAsia="方正仿宋_GBK" w:cs="方正仿宋_GBK"/>
          <w:i w:val="0"/>
          <w:iCs w:val="0"/>
          <w:color w:val="000000"/>
          <w:kern w:val="0"/>
          <w:sz w:val="30"/>
          <w:szCs w:val="30"/>
          <w:highlight w:val="none"/>
          <w:u w:val="none"/>
          <w:lang w:val="en-US" w:eastAsia="zh-CN"/>
        </w:rPr>
        <w:t>★的共33项，为必查内容；其余31项为</w:t>
      </w:r>
      <w:r>
        <w:rPr>
          <w:rFonts w:hint="eastAsia" w:ascii="方正仿宋_GBK" w:hAnsi="方正仿宋_GBK" w:eastAsia="方正仿宋_GBK" w:cs="方正仿宋_GBK"/>
          <w:sz w:val="30"/>
          <w:szCs w:val="30"/>
          <w:vertAlign w:val="baseline"/>
          <w:lang w:eastAsia="zh-CN"/>
        </w:rPr>
        <w:t>抽查内容</w:t>
      </w:r>
      <w:r>
        <w:rPr>
          <w:rFonts w:hint="eastAsia" w:ascii="方正仿宋_GBK" w:hAnsi="方正仿宋_GBK" w:eastAsia="方正仿宋_GBK" w:cs="方正仿宋_GBK"/>
          <w:color w:val="000000"/>
          <w:sz w:val="30"/>
          <w:szCs w:val="30"/>
          <w:highlight w:val="none"/>
          <w:lang w:val="en-US" w:eastAsia="zh-CN"/>
        </w:rPr>
        <w:t>）</w:t>
      </w:r>
    </w:p>
    <w:tbl>
      <w:tblPr>
        <w:tblStyle w:val="6"/>
        <w:tblW w:w="5132"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601"/>
        <w:gridCol w:w="6796"/>
        <w:gridCol w:w="4609"/>
      </w:tblGrid>
      <w:tr w14:paraId="231993C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000" w:type="pct"/>
            <w:gridSpan w:val="4"/>
            <w:tcBorders>
              <w:bottom w:val="single" w:color="000000" w:sz="4" w:space="0"/>
            </w:tcBorders>
            <w:noWrap w:val="0"/>
            <w:vAlign w:val="center"/>
          </w:tcPr>
          <w:p w14:paraId="1758022E">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建筑、燃气、用电和特种设备安全</w:t>
            </w:r>
          </w:p>
        </w:tc>
      </w:tr>
      <w:tr w14:paraId="54E6D40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271" w:type="pct"/>
            <w:tcBorders>
              <w:top w:val="single" w:color="000000" w:sz="4" w:space="0"/>
              <w:bottom w:val="single" w:color="000000" w:sz="4" w:space="0"/>
              <w:right w:val="single" w:color="000000" w:sz="4" w:space="0"/>
            </w:tcBorders>
            <w:noWrap w:val="0"/>
            <w:vAlign w:val="center"/>
          </w:tcPr>
          <w:p w14:paraId="605A6581">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bidi="ar-SA"/>
              </w:rPr>
            </w:pPr>
            <w:r>
              <w:rPr>
                <w:rFonts w:hint="eastAsia" w:ascii="黑体" w:hAnsi="黑体" w:eastAsia="黑体" w:cs="黑体"/>
                <w:color w:val="000000"/>
                <w:kern w:val="0"/>
                <w:sz w:val="30"/>
                <w:szCs w:val="30"/>
                <w:highlight w:val="none"/>
                <w:u w:val="none"/>
                <w:lang w:val="en-US" w:eastAsia="zh-CN"/>
              </w:rPr>
              <w:t>序号</w:t>
            </w:r>
          </w:p>
        </w:tc>
        <w:tc>
          <w:tcPr>
            <w:tcW w:w="582" w:type="pct"/>
            <w:tcBorders>
              <w:left w:val="single" w:color="000000" w:sz="4" w:space="0"/>
              <w:right w:val="single" w:color="000000" w:sz="4" w:space="0"/>
            </w:tcBorders>
            <w:noWrap w:val="0"/>
            <w:vAlign w:val="center"/>
          </w:tcPr>
          <w:p w14:paraId="18F5C019">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bidi="ar-SA"/>
              </w:rPr>
            </w:pPr>
            <w:r>
              <w:rPr>
                <w:rFonts w:hint="eastAsia" w:ascii="黑体" w:hAnsi="黑体" w:eastAsia="黑体" w:cs="黑体"/>
                <w:color w:val="000000"/>
                <w:kern w:val="0"/>
                <w:sz w:val="30"/>
                <w:szCs w:val="30"/>
                <w:highlight w:val="none"/>
                <w:u w:val="none"/>
                <w:lang w:val="en-US" w:eastAsia="zh-CN"/>
              </w:rPr>
              <w:t>检查项目</w:t>
            </w:r>
          </w:p>
        </w:tc>
        <w:tc>
          <w:tcPr>
            <w:tcW w:w="2471" w:type="pct"/>
            <w:tcBorders>
              <w:top w:val="single" w:color="auto" w:sz="4" w:space="0"/>
              <w:left w:val="single" w:color="000000" w:sz="4" w:space="0"/>
              <w:bottom w:val="single" w:color="000000" w:sz="4" w:space="0"/>
              <w:right w:val="single" w:color="000000" w:sz="4" w:space="0"/>
            </w:tcBorders>
            <w:noWrap w:val="0"/>
            <w:vAlign w:val="center"/>
          </w:tcPr>
          <w:p w14:paraId="490DE2AA">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bidi="ar-SA"/>
              </w:rPr>
            </w:pPr>
            <w:r>
              <w:rPr>
                <w:rFonts w:hint="eastAsia" w:ascii="黑体" w:hAnsi="黑体" w:eastAsia="黑体" w:cs="黑体"/>
                <w:color w:val="000000"/>
                <w:kern w:val="0"/>
                <w:sz w:val="30"/>
                <w:szCs w:val="30"/>
                <w:highlight w:val="none"/>
                <w:u w:val="none"/>
                <w:lang w:val="en-US" w:eastAsia="zh-CN"/>
              </w:rPr>
              <w:t>检查事项</w:t>
            </w:r>
          </w:p>
        </w:tc>
        <w:tc>
          <w:tcPr>
            <w:tcW w:w="1674" w:type="pct"/>
            <w:tcBorders>
              <w:top w:val="single" w:color="auto" w:sz="4" w:space="0"/>
              <w:left w:val="single" w:color="000000" w:sz="4" w:space="0"/>
              <w:bottom w:val="single" w:color="000000" w:sz="4" w:space="0"/>
            </w:tcBorders>
            <w:noWrap w:val="0"/>
            <w:vAlign w:val="center"/>
          </w:tcPr>
          <w:p w14:paraId="6883A123">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543D838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650" w:hRule="atLeast"/>
          <w:jc w:val="center"/>
        </w:trPr>
        <w:tc>
          <w:tcPr>
            <w:tcW w:w="271" w:type="pct"/>
            <w:tcBorders>
              <w:top w:val="single" w:color="000000" w:sz="4" w:space="0"/>
              <w:bottom w:val="single" w:color="000000" w:sz="4" w:space="0"/>
              <w:right w:val="single" w:color="000000" w:sz="4" w:space="0"/>
            </w:tcBorders>
            <w:noWrap w:val="0"/>
            <w:vAlign w:val="center"/>
          </w:tcPr>
          <w:p w14:paraId="3C81A54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1</w:t>
            </w:r>
          </w:p>
        </w:tc>
        <w:tc>
          <w:tcPr>
            <w:tcW w:w="582" w:type="pct"/>
            <w:tcBorders>
              <w:left w:val="single" w:color="000000" w:sz="4" w:space="0"/>
              <w:right w:val="single" w:color="000000" w:sz="4" w:space="0"/>
            </w:tcBorders>
            <w:noWrap w:val="0"/>
            <w:vAlign w:val="center"/>
          </w:tcPr>
          <w:p w14:paraId="736E387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建设情况</w:t>
            </w:r>
          </w:p>
        </w:tc>
        <w:tc>
          <w:tcPr>
            <w:tcW w:w="2471" w:type="pct"/>
            <w:tcBorders>
              <w:top w:val="single" w:color="auto" w:sz="4" w:space="0"/>
              <w:left w:val="single" w:color="000000" w:sz="4" w:space="0"/>
              <w:bottom w:val="single" w:color="000000" w:sz="4" w:space="0"/>
              <w:right w:val="single" w:color="000000" w:sz="4" w:space="0"/>
            </w:tcBorders>
            <w:noWrap w:val="0"/>
            <w:vAlign w:val="center"/>
          </w:tcPr>
          <w:p w14:paraId="1888254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color w:val="000000"/>
                <w:kern w:val="0"/>
                <w:sz w:val="30"/>
                <w:szCs w:val="30"/>
                <w:highlight w:val="none"/>
                <w:u w:val="none"/>
                <w:lang w:val="en-US" w:eastAsia="zh-CN"/>
              </w:rPr>
              <w:t>养老机构是否按照基本建设程序办理用地、规划、建设、验收等手续，是否擅自投入使用或改变建筑使用功能，是否违规改扩建。</w:t>
            </w:r>
          </w:p>
        </w:tc>
        <w:tc>
          <w:tcPr>
            <w:tcW w:w="1674" w:type="pct"/>
            <w:tcBorders>
              <w:top w:val="single" w:color="auto" w:sz="4" w:space="0"/>
              <w:left w:val="single" w:color="000000" w:sz="4" w:space="0"/>
              <w:bottom w:val="single" w:color="000000" w:sz="4" w:space="0"/>
            </w:tcBorders>
            <w:noWrap w:val="0"/>
            <w:vAlign w:val="center"/>
          </w:tcPr>
          <w:p w14:paraId="5EF4588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shd w:val="clear" w:color="auto" w:fill="FFFFFF"/>
                <w:lang w:eastAsia="zh-CN"/>
              </w:rPr>
              <w:t>中华人民共和国土地管理法</w:t>
            </w:r>
            <w:r>
              <w:rPr>
                <w:rFonts w:hint="eastAsia" w:ascii="方正仿宋_GBK" w:hAnsi="方正仿宋_GBK" w:eastAsia="方正仿宋_GBK" w:cs="方正仿宋_GBK"/>
                <w:color w:val="000000"/>
                <w:kern w:val="0"/>
                <w:sz w:val="30"/>
                <w:szCs w:val="30"/>
                <w:highlight w:val="none"/>
                <w:lang w:eastAsia="zh-CN"/>
              </w:rPr>
              <w:t>》</w:t>
            </w:r>
          </w:p>
          <w:p w14:paraId="4E9510D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《中华人民共和国城乡规划法》</w:t>
            </w:r>
          </w:p>
          <w:p w14:paraId="55B5161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《中华人民共和国建筑法》</w:t>
            </w:r>
          </w:p>
          <w:p w14:paraId="1EE93EF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tc>
      </w:tr>
      <w:tr w14:paraId="63D0C02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271" w:type="pct"/>
            <w:tcBorders>
              <w:top w:val="single" w:color="000000" w:sz="4" w:space="0"/>
              <w:bottom w:val="single" w:color="000000" w:sz="4" w:space="0"/>
              <w:right w:val="single" w:color="000000" w:sz="4" w:space="0"/>
            </w:tcBorders>
            <w:noWrap w:val="0"/>
            <w:vAlign w:val="center"/>
          </w:tcPr>
          <w:p w14:paraId="3291E2A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2</w:t>
            </w:r>
          </w:p>
        </w:tc>
        <w:tc>
          <w:tcPr>
            <w:tcW w:w="582" w:type="pct"/>
            <w:vMerge w:val="restart"/>
            <w:tcBorders>
              <w:left w:val="single" w:color="000000" w:sz="4" w:space="0"/>
              <w:right w:val="single" w:color="000000" w:sz="4" w:space="0"/>
            </w:tcBorders>
            <w:noWrap w:val="0"/>
            <w:vAlign w:val="center"/>
          </w:tcPr>
          <w:p w14:paraId="2AE3542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2"/>
                <w:sz w:val="30"/>
                <w:szCs w:val="30"/>
                <w:highlight w:val="none"/>
                <w:u w:val="none"/>
                <w:lang w:val="en-US" w:eastAsia="zh-CN" w:bidi="ar-SA"/>
              </w:rPr>
              <w:t>场所安全</w:t>
            </w:r>
          </w:p>
        </w:tc>
        <w:tc>
          <w:tcPr>
            <w:tcW w:w="2471" w:type="pct"/>
            <w:tcBorders>
              <w:top w:val="single" w:color="auto" w:sz="4" w:space="0"/>
              <w:left w:val="single" w:color="000000" w:sz="4" w:space="0"/>
              <w:bottom w:val="single" w:color="000000" w:sz="4" w:space="0"/>
              <w:right w:val="single" w:color="000000" w:sz="4" w:space="0"/>
            </w:tcBorders>
            <w:noWrap w:val="0"/>
            <w:vAlign w:val="center"/>
          </w:tcPr>
          <w:p w14:paraId="1468726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val="en-US" w:eastAsia="zh-CN"/>
              </w:rPr>
              <w:t>养老机构是否设置在C级或D级危房的建筑内。</w:t>
            </w:r>
          </w:p>
        </w:tc>
        <w:tc>
          <w:tcPr>
            <w:tcW w:w="1674" w:type="pct"/>
            <w:tcBorders>
              <w:top w:val="single" w:color="auto" w:sz="4" w:space="0"/>
              <w:left w:val="single" w:color="000000" w:sz="4" w:space="0"/>
              <w:bottom w:val="single" w:color="000000" w:sz="4" w:space="0"/>
            </w:tcBorders>
            <w:noWrap w:val="0"/>
            <w:vAlign w:val="center"/>
          </w:tcPr>
          <w:p w14:paraId="2485434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77924E0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71" w:type="pct"/>
            <w:tcBorders>
              <w:top w:val="single" w:color="000000" w:sz="4" w:space="0"/>
              <w:bottom w:val="single" w:color="000000" w:sz="4" w:space="0"/>
              <w:right w:val="single" w:color="000000" w:sz="4" w:space="0"/>
            </w:tcBorders>
            <w:noWrap w:val="0"/>
            <w:vAlign w:val="center"/>
          </w:tcPr>
          <w:p w14:paraId="519FE3E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3</w:t>
            </w:r>
          </w:p>
        </w:tc>
        <w:tc>
          <w:tcPr>
            <w:tcW w:w="582" w:type="pct"/>
            <w:vMerge w:val="continue"/>
            <w:tcBorders>
              <w:left w:val="single" w:color="000000" w:sz="4" w:space="0"/>
              <w:right w:val="single" w:color="000000" w:sz="4" w:space="0"/>
            </w:tcBorders>
            <w:noWrap w:val="0"/>
            <w:vAlign w:val="center"/>
          </w:tcPr>
          <w:p w14:paraId="41CB6AD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471" w:type="pct"/>
            <w:tcBorders>
              <w:top w:val="single" w:color="auto" w:sz="4" w:space="0"/>
              <w:left w:val="single" w:color="000000" w:sz="4" w:space="0"/>
              <w:bottom w:val="single" w:color="000000" w:sz="4" w:space="0"/>
              <w:right w:val="single" w:color="000000" w:sz="4" w:space="0"/>
            </w:tcBorders>
            <w:noWrap w:val="0"/>
            <w:vAlign w:val="center"/>
          </w:tcPr>
          <w:p w14:paraId="011BAE2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val="en-US" w:eastAsia="zh-CN" w:bidi="ar-SA"/>
              </w:rPr>
              <w:t>投入使用的自建房是否取得房屋安全鉴定合格证明。</w:t>
            </w:r>
          </w:p>
        </w:tc>
        <w:tc>
          <w:tcPr>
            <w:tcW w:w="1674" w:type="pct"/>
            <w:tcBorders>
              <w:top w:val="single" w:color="auto" w:sz="4" w:space="0"/>
              <w:left w:val="single" w:color="000000" w:sz="4" w:space="0"/>
              <w:bottom w:val="single" w:color="000000" w:sz="4" w:space="0"/>
            </w:tcBorders>
            <w:noWrap w:val="0"/>
            <w:vAlign w:val="center"/>
          </w:tcPr>
          <w:p w14:paraId="79197E2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default"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《国务院办公厅关于印发全国自建房安全专项整治工作方案的通知》（国办发明电</w:t>
            </w:r>
            <w:r>
              <w:rPr>
                <w:rFonts w:hint="eastAsia" w:ascii="方正仿宋_GBK" w:hAnsi="方正仿宋_GBK" w:eastAsia="方正仿宋_GBK" w:cs="方正仿宋_GBK"/>
                <w:color w:val="000000"/>
                <w:kern w:val="0"/>
                <w:sz w:val="30"/>
                <w:szCs w:val="30"/>
                <w:highlight w:val="none"/>
                <w:lang w:val="en-US" w:eastAsia="zh-CN"/>
              </w:rPr>
              <w:t>〔2022〕10号</w:t>
            </w:r>
            <w:r>
              <w:rPr>
                <w:rFonts w:hint="eastAsia" w:ascii="方正仿宋_GBK" w:hAnsi="方正仿宋_GBK" w:eastAsia="方正仿宋_GBK" w:cs="方正仿宋_GBK"/>
                <w:color w:val="000000"/>
                <w:kern w:val="0"/>
                <w:sz w:val="30"/>
                <w:szCs w:val="30"/>
                <w:highlight w:val="none"/>
                <w:lang w:eastAsia="zh-CN"/>
              </w:rPr>
              <w:t>）</w:t>
            </w:r>
          </w:p>
        </w:tc>
      </w:tr>
    </w:tbl>
    <w:p w14:paraId="556482D2">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sectPr>
          <w:footerReference r:id="rId3" w:type="default"/>
          <w:pgSz w:w="16838" w:h="11906" w:orient="landscape"/>
          <w:pgMar w:top="1531" w:right="1559" w:bottom="1531" w:left="2098" w:header="624" w:footer="1474" w:gutter="0"/>
          <w:pgNumType w:fmt="decimal"/>
          <w:cols w:space="720" w:num="1"/>
          <w:docGrid w:type="lines" w:linePitch="312" w:charSpace="0"/>
        </w:sectPr>
      </w:pPr>
    </w:p>
    <w:tbl>
      <w:tblPr>
        <w:tblStyle w:val="6"/>
        <w:tblW w:w="5228"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729"/>
        <w:gridCol w:w="6547"/>
        <w:gridCol w:w="4995"/>
      </w:tblGrid>
      <w:tr w14:paraId="1481047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632" w:hRule="atLeast"/>
          <w:jc w:val="center"/>
        </w:trPr>
        <w:tc>
          <w:tcPr>
            <w:tcW w:w="263" w:type="pct"/>
            <w:tcBorders>
              <w:top w:val="single" w:color="000000" w:sz="4" w:space="0"/>
              <w:bottom w:val="single" w:color="000000" w:sz="4" w:space="0"/>
              <w:right w:val="single" w:color="000000" w:sz="4" w:space="0"/>
            </w:tcBorders>
            <w:noWrap w:val="0"/>
            <w:vAlign w:val="center"/>
          </w:tcPr>
          <w:p w14:paraId="590F5A5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4</w:t>
            </w:r>
          </w:p>
        </w:tc>
        <w:tc>
          <w:tcPr>
            <w:tcW w:w="617" w:type="pct"/>
            <w:tcBorders>
              <w:left w:val="single" w:color="000000" w:sz="4" w:space="0"/>
              <w:right w:val="single" w:color="000000" w:sz="4" w:space="0"/>
            </w:tcBorders>
            <w:noWrap w:val="0"/>
            <w:vAlign w:val="center"/>
          </w:tcPr>
          <w:p w14:paraId="23D90CD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58A9A3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养老机构墙体或临近山坡挡土墙是否出现裂缝、变形、风化、空鼓等现象；是否出现地基沉降。</w:t>
            </w:r>
          </w:p>
        </w:tc>
        <w:tc>
          <w:tcPr>
            <w:tcW w:w="1781" w:type="pct"/>
            <w:tcBorders>
              <w:top w:val="single" w:color="auto" w:sz="4" w:space="0"/>
              <w:left w:val="single" w:color="000000" w:sz="4" w:space="0"/>
              <w:bottom w:val="single" w:color="000000" w:sz="4" w:space="0"/>
            </w:tcBorders>
            <w:noWrap w:val="0"/>
            <w:vAlign w:val="center"/>
          </w:tcPr>
          <w:p w14:paraId="179C34F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w:t>
            </w:r>
            <w:r>
              <w:rPr>
                <w:rFonts w:hint="eastAsia" w:ascii="方正仿宋_GBK" w:hAnsi="方正仿宋_GBK" w:eastAsia="方正仿宋_GBK" w:cs="方正仿宋_GBK"/>
                <w:color w:val="000000"/>
                <w:kern w:val="0"/>
                <w:sz w:val="30"/>
                <w:szCs w:val="30"/>
                <w:highlight w:val="none"/>
                <w:lang w:eastAsia="zh-CN"/>
              </w:rPr>
              <w:t>既有建筑维护与改造通用规范</w:t>
            </w:r>
            <w:r>
              <w:rPr>
                <w:rFonts w:hint="eastAsia" w:ascii="方正仿宋_GBK" w:hAnsi="方正仿宋_GBK" w:eastAsia="方正仿宋_GBK" w:cs="方正仿宋_GBK"/>
                <w:color w:val="000000"/>
                <w:kern w:val="0"/>
                <w:sz w:val="30"/>
                <w:szCs w:val="30"/>
                <w:highlight w:val="none"/>
              </w:rPr>
              <w:t>》</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GB55022-2021</w:t>
            </w:r>
            <w:r>
              <w:rPr>
                <w:rFonts w:hint="eastAsia" w:ascii="方正仿宋_GBK" w:hAnsi="方正仿宋_GBK" w:eastAsia="方正仿宋_GBK" w:cs="方正仿宋_GBK"/>
                <w:color w:val="000000"/>
                <w:kern w:val="0"/>
                <w:sz w:val="30"/>
                <w:szCs w:val="30"/>
                <w:highlight w:val="none"/>
                <w:lang w:eastAsia="zh-CN"/>
              </w:rPr>
              <w:t>）</w:t>
            </w:r>
          </w:p>
        </w:tc>
      </w:tr>
      <w:tr w14:paraId="723CDF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731" w:hRule="atLeast"/>
          <w:jc w:val="center"/>
        </w:trPr>
        <w:tc>
          <w:tcPr>
            <w:tcW w:w="263" w:type="pct"/>
            <w:tcBorders>
              <w:top w:val="single" w:color="000000" w:sz="4" w:space="0"/>
              <w:bottom w:val="single" w:color="000000" w:sz="4" w:space="0"/>
              <w:right w:val="single" w:color="000000" w:sz="4" w:space="0"/>
            </w:tcBorders>
            <w:noWrap w:val="0"/>
            <w:vAlign w:val="center"/>
          </w:tcPr>
          <w:p w14:paraId="29E4857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5</w:t>
            </w:r>
          </w:p>
        </w:tc>
        <w:tc>
          <w:tcPr>
            <w:tcW w:w="617" w:type="pct"/>
            <w:vMerge w:val="restart"/>
            <w:tcBorders>
              <w:left w:val="single" w:color="000000" w:sz="4" w:space="0"/>
              <w:right w:val="single" w:color="000000" w:sz="4" w:space="0"/>
            </w:tcBorders>
            <w:noWrap w:val="0"/>
            <w:vAlign w:val="center"/>
          </w:tcPr>
          <w:p w14:paraId="56BADEC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燃气安全</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23FD4EE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是否依法建立健全燃气安全管理制度。</w:t>
            </w:r>
          </w:p>
        </w:tc>
        <w:tc>
          <w:tcPr>
            <w:tcW w:w="1781" w:type="pct"/>
            <w:tcBorders>
              <w:top w:val="single" w:color="auto" w:sz="4" w:space="0"/>
              <w:left w:val="single" w:color="000000" w:sz="4" w:space="0"/>
              <w:bottom w:val="single" w:color="000000" w:sz="4" w:space="0"/>
            </w:tcBorders>
            <w:noWrap w:val="0"/>
            <w:vAlign w:val="center"/>
          </w:tcPr>
          <w:p w14:paraId="646E28F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城镇燃气管理条例</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国务院令第583号</w:t>
            </w:r>
            <w:r>
              <w:rPr>
                <w:rFonts w:hint="eastAsia" w:ascii="方正仿宋_GBK" w:hAnsi="方正仿宋_GBK" w:eastAsia="方正仿宋_GBK" w:cs="方正仿宋_GBK"/>
                <w:color w:val="000000"/>
                <w:kern w:val="0"/>
                <w:sz w:val="30"/>
                <w:szCs w:val="30"/>
                <w:highlight w:val="none"/>
                <w:lang w:eastAsia="zh-CN"/>
              </w:rPr>
              <w:t>）</w:t>
            </w:r>
          </w:p>
        </w:tc>
      </w:tr>
      <w:tr w14:paraId="5D0DA3A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801" w:hRule="atLeast"/>
          <w:jc w:val="center"/>
        </w:trPr>
        <w:tc>
          <w:tcPr>
            <w:tcW w:w="263" w:type="pct"/>
            <w:tcBorders>
              <w:top w:val="single" w:color="000000" w:sz="4" w:space="0"/>
              <w:bottom w:val="single" w:color="000000" w:sz="4" w:space="0"/>
              <w:right w:val="single" w:color="000000" w:sz="4" w:space="0"/>
            </w:tcBorders>
            <w:noWrap w:val="0"/>
            <w:vAlign w:val="center"/>
          </w:tcPr>
          <w:p w14:paraId="21F62DAF">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6</w:t>
            </w:r>
          </w:p>
        </w:tc>
        <w:tc>
          <w:tcPr>
            <w:tcW w:w="617" w:type="pct"/>
            <w:vMerge w:val="continue"/>
            <w:tcBorders>
              <w:left w:val="single" w:color="000000" w:sz="4" w:space="0"/>
              <w:right w:val="single" w:color="000000" w:sz="4" w:space="0"/>
            </w:tcBorders>
            <w:noWrap w:val="0"/>
            <w:vAlign w:val="center"/>
          </w:tcPr>
          <w:p w14:paraId="6F53251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4CFE843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auto"/>
                <w:kern w:val="0"/>
                <w:sz w:val="30"/>
                <w:szCs w:val="30"/>
                <w:highlight w:val="none"/>
              </w:rPr>
              <w:t>是否使用合格的液化石油气瓶、调压器、连接软管、灶具等燃气具及配件，是否按规定要求设置燃气泄漏报警、自动切断装置</w:t>
            </w:r>
            <w:r>
              <w:rPr>
                <w:rFonts w:hint="eastAsia" w:ascii="方正仿宋_GBK" w:hAnsi="方正仿宋_GBK" w:eastAsia="方正仿宋_GBK" w:cs="方正仿宋_GBK"/>
                <w:i w:val="0"/>
                <w:iCs w:val="0"/>
                <w:color w:val="auto"/>
                <w:kern w:val="0"/>
                <w:sz w:val="30"/>
                <w:szCs w:val="30"/>
                <w:highlight w:val="none"/>
                <w:u w:val="none"/>
                <w:lang w:val="en-US" w:eastAsia="zh-CN"/>
              </w:rPr>
              <w:t>。</w:t>
            </w:r>
          </w:p>
        </w:tc>
        <w:tc>
          <w:tcPr>
            <w:tcW w:w="1781" w:type="pct"/>
            <w:tcBorders>
              <w:top w:val="single" w:color="auto" w:sz="4" w:space="0"/>
              <w:left w:val="single" w:color="000000" w:sz="4" w:space="0"/>
              <w:bottom w:val="single" w:color="000000" w:sz="4" w:space="0"/>
            </w:tcBorders>
            <w:noWrap w:val="0"/>
            <w:vAlign w:val="center"/>
          </w:tcPr>
          <w:p w14:paraId="6827D40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国务院安全生产委员会关于印发《全国城镇燃气安全专项整治工作方案》的通知（安委</w:t>
            </w:r>
            <w:r>
              <w:rPr>
                <w:rFonts w:hint="eastAsia" w:ascii="方正仿宋_GBK" w:hAnsi="方正仿宋_GBK" w:eastAsia="方正仿宋_GBK" w:cs="方正仿宋_GBK"/>
                <w:color w:val="000000"/>
                <w:kern w:val="0"/>
                <w:sz w:val="30"/>
                <w:szCs w:val="30"/>
                <w:highlight w:val="none"/>
                <w:lang w:val="en-US" w:eastAsia="zh-CN"/>
              </w:rPr>
              <w:t>〔2023〕3号</w:t>
            </w:r>
            <w:r>
              <w:rPr>
                <w:rFonts w:hint="eastAsia" w:ascii="方正仿宋_GBK" w:hAnsi="方正仿宋_GBK" w:eastAsia="方正仿宋_GBK" w:cs="方正仿宋_GBK"/>
                <w:color w:val="000000"/>
                <w:kern w:val="0"/>
                <w:sz w:val="30"/>
                <w:szCs w:val="30"/>
                <w:highlight w:val="none"/>
                <w:lang w:eastAsia="zh-CN"/>
              </w:rPr>
              <w:t>）</w:t>
            </w:r>
          </w:p>
          <w:p w14:paraId="1C26216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《燃气工程项目规范》（</w:t>
            </w:r>
            <w:r>
              <w:rPr>
                <w:rFonts w:hint="eastAsia" w:ascii="方正仿宋_GBK" w:hAnsi="方正仿宋_GBK" w:eastAsia="方正仿宋_GBK" w:cs="方正仿宋_GBK"/>
                <w:color w:val="000000"/>
                <w:kern w:val="0"/>
                <w:sz w:val="30"/>
                <w:szCs w:val="30"/>
                <w:highlight w:val="none"/>
                <w:lang w:val="en-US" w:eastAsia="zh-CN"/>
              </w:rPr>
              <w:t>GB55009-2021</w:t>
            </w:r>
            <w:r>
              <w:rPr>
                <w:rFonts w:hint="eastAsia" w:ascii="方正仿宋_GBK" w:hAnsi="方正仿宋_GBK" w:eastAsia="方正仿宋_GBK" w:cs="方正仿宋_GBK"/>
                <w:color w:val="000000"/>
                <w:kern w:val="0"/>
                <w:sz w:val="30"/>
                <w:szCs w:val="30"/>
                <w:highlight w:val="none"/>
                <w:lang w:eastAsia="zh-CN"/>
              </w:rPr>
              <w:t>）</w:t>
            </w:r>
          </w:p>
          <w:p w14:paraId="0C8F4B0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66CBEAA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3F5BA58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4F95213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7</w:t>
            </w:r>
          </w:p>
        </w:tc>
        <w:tc>
          <w:tcPr>
            <w:tcW w:w="617" w:type="pct"/>
            <w:tcBorders>
              <w:left w:val="single" w:color="000000" w:sz="4" w:space="0"/>
              <w:right w:val="single" w:color="000000" w:sz="4" w:space="0"/>
            </w:tcBorders>
            <w:noWrap w:val="0"/>
            <w:vAlign w:val="center"/>
          </w:tcPr>
          <w:p w14:paraId="1333B2F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用电安全</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06AE51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eastAsia="zh-CN"/>
              </w:rPr>
              <w:t>是否使用老旧、“三无”、无</w:t>
            </w:r>
            <w:r>
              <w:rPr>
                <w:rFonts w:hint="eastAsia" w:ascii="方正仿宋_GBK" w:hAnsi="方正仿宋_GBK" w:eastAsia="方正仿宋_GBK" w:cs="方正仿宋_GBK"/>
                <w:color w:val="000000"/>
                <w:kern w:val="0"/>
                <w:sz w:val="30"/>
                <w:szCs w:val="30"/>
                <w:highlight w:val="none"/>
                <w:lang w:val="en-US" w:eastAsia="zh-CN"/>
              </w:rPr>
              <w:t>CCC认证延长线插座。</w:t>
            </w:r>
          </w:p>
        </w:tc>
        <w:tc>
          <w:tcPr>
            <w:tcW w:w="1781" w:type="pct"/>
            <w:tcBorders>
              <w:top w:val="single" w:color="auto" w:sz="4" w:space="0"/>
              <w:left w:val="single" w:color="000000" w:sz="4" w:space="0"/>
              <w:bottom w:val="single" w:color="000000" w:sz="4" w:space="0"/>
            </w:tcBorders>
            <w:noWrap w:val="0"/>
            <w:vAlign w:val="center"/>
          </w:tcPr>
          <w:p w14:paraId="14AF5B3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民政部</w:t>
            </w:r>
            <w:r>
              <w:rPr>
                <w:rFonts w:hint="eastAsia" w:ascii="方正仿宋_GBK" w:hAnsi="方正仿宋_GBK" w:eastAsia="方正仿宋_GBK" w:cs="方正仿宋_GBK"/>
                <w:color w:val="000000"/>
                <w:kern w:val="0"/>
                <w:sz w:val="30"/>
                <w:szCs w:val="30"/>
                <w:highlight w:val="none"/>
                <w:lang w:val="en-US" w:eastAsia="zh-CN"/>
              </w:rPr>
              <w:t xml:space="preserve"> 国家消防救援局关于印发</w:t>
            </w:r>
            <w:r>
              <w:rPr>
                <w:rFonts w:hint="eastAsia" w:ascii="方正仿宋_GBK" w:hAnsi="方正仿宋_GBK" w:eastAsia="方正仿宋_GBK" w:cs="方正仿宋_GBK"/>
                <w:color w:val="000000"/>
                <w:kern w:val="0"/>
                <w:sz w:val="30"/>
                <w:szCs w:val="30"/>
                <w:highlight w:val="none"/>
                <w:lang w:eastAsia="zh-CN"/>
              </w:rPr>
              <w:t>《养老机构消防安全管理规定》的通知（民发</w:t>
            </w:r>
            <w:r>
              <w:rPr>
                <w:rFonts w:hint="eastAsia" w:ascii="方正仿宋_GBK" w:hAnsi="方正仿宋_GBK" w:eastAsia="方正仿宋_GBK" w:cs="方正仿宋_GBK"/>
                <w:color w:val="000000"/>
                <w:kern w:val="0"/>
                <w:sz w:val="30"/>
                <w:szCs w:val="30"/>
                <w:highlight w:val="none"/>
                <w:lang w:val="en-US" w:eastAsia="zh-CN"/>
              </w:rPr>
              <w:t>〔2023〕37号</w:t>
            </w:r>
            <w:r>
              <w:rPr>
                <w:rFonts w:hint="eastAsia" w:ascii="方正仿宋_GBK" w:hAnsi="方正仿宋_GBK" w:eastAsia="方正仿宋_GBK" w:cs="方正仿宋_GBK"/>
                <w:color w:val="000000"/>
                <w:kern w:val="0"/>
                <w:sz w:val="30"/>
                <w:szCs w:val="30"/>
                <w:highlight w:val="none"/>
                <w:lang w:eastAsia="zh-CN"/>
              </w:rPr>
              <w:t>）</w:t>
            </w:r>
          </w:p>
          <w:p w14:paraId="4FEE9E7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366D7E6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5F969C8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4950661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8</w:t>
            </w:r>
          </w:p>
        </w:tc>
        <w:tc>
          <w:tcPr>
            <w:tcW w:w="617" w:type="pct"/>
            <w:vMerge w:val="restart"/>
            <w:tcBorders>
              <w:left w:val="single" w:color="000000" w:sz="4" w:space="0"/>
              <w:right w:val="single" w:color="000000" w:sz="4" w:space="0"/>
            </w:tcBorders>
            <w:noWrap w:val="0"/>
            <w:vAlign w:val="center"/>
          </w:tcPr>
          <w:p w14:paraId="4710DFE7">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特种设备</w:t>
            </w:r>
          </w:p>
          <w:p w14:paraId="50E37A9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安全</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455876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特种设备使用单位是否办理使用登记并取得证书，登记标志是否置于该特种设备的显著位置。</w:t>
            </w:r>
          </w:p>
        </w:tc>
        <w:tc>
          <w:tcPr>
            <w:tcW w:w="1781" w:type="pct"/>
            <w:tcBorders>
              <w:top w:val="single" w:color="auto" w:sz="4" w:space="0"/>
              <w:left w:val="single" w:color="000000" w:sz="4" w:space="0"/>
              <w:bottom w:val="single" w:color="000000" w:sz="4" w:space="0"/>
            </w:tcBorders>
            <w:noWrap w:val="0"/>
            <w:vAlign w:val="center"/>
          </w:tcPr>
          <w:p w14:paraId="141F409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《中华人民共和国特种设备安全法》</w:t>
            </w:r>
          </w:p>
          <w:p w14:paraId="6BD95A6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tc>
      </w:tr>
      <w:tr w14:paraId="13B58C9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589DDEC2">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9</w:t>
            </w:r>
          </w:p>
        </w:tc>
        <w:tc>
          <w:tcPr>
            <w:tcW w:w="617" w:type="pct"/>
            <w:vMerge w:val="continue"/>
            <w:tcBorders>
              <w:left w:val="single" w:color="000000" w:sz="4" w:space="0"/>
              <w:right w:val="single" w:color="000000" w:sz="4" w:space="0"/>
            </w:tcBorders>
            <w:noWrap w:val="0"/>
            <w:vAlign w:val="center"/>
          </w:tcPr>
          <w:p w14:paraId="27E304A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D1069B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特种设备使用单位是否建立特种设备安全技术档案。</w:t>
            </w:r>
          </w:p>
        </w:tc>
        <w:tc>
          <w:tcPr>
            <w:tcW w:w="1781" w:type="pct"/>
            <w:tcBorders>
              <w:top w:val="single" w:color="auto" w:sz="4" w:space="0"/>
              <w:left w:val="single" w:color="000000" w:sz="4" w:space="0"/>
              <w:bottom w:val="single" w:color="000000" w:sz="4" w:space="0"/>
            </w:tcBorders>
            <w:noWrap w:val="0"/>
            <w:vAlign w:val="center"/>
          </w:tcPr>
          <w:p w14:paraId="7649D47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《中华人民共和国特种设备安全法》</w:t>
            </w:r>
          </w:p>
        </w:tc>
      </w:tr>
      <w:tr w14:paraId="7737BD2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43EE131F">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10</w:t>
            </w:r>
          </w:p>
        </w:tc>
        <w:tc>
          <w:tcPr>
            <w:tcW w:w="617" w:type="pct"/>
            <w:vMerge w:val="continue"/>
            <w:tcBorders>
              <w:left w:val="single" w:color="000000" w:sz="4" w:space="0"/>
              <w:right w:val="single" w:color="000000" w:sz="4" w:space="0"/>
            </w:tcBorders>
            <w:noWrap w:val="0"/>
            <w:vAlign w:val="center"/>
          </w:tcPr>
          <w:p w14:paraId="442840AF">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5017315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特种设备使用单位是否对其使用的特种设备进行经常性维护保养和定期自行检查，是否对特种设备的安全附件、安全保护装置进行定期校验、检修，并记录。</w:t>
            </w:r>
          </w:p>
        </w:tc>
        <w:tc>
          <w:tcPr>
            <w:tcW w:w="1781" w:type="pct"/>
            <w:tcBorders>
              <w:top w:val="single" w:color="auto" w:sz="4" w:space="0"/>
              <w:left w:val="single" w:color="000000" w:sz="4" w:space="0"/>
              <w:bottom w:val="single" w:color="000000" w:sz="4" w:space="0"/>
            </w:tcBorders>
            <w:noWrap w:val="0"/>
            <w:vAlign w:val="center"/>
          </w:tcPr>
          <w:p w14:paraId="6BAEBEB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《中华人民共和国特种设备安全法》</w:t>
            </w:r>
          </w:p>
          <w:p w14:paraId="097B23C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5F84916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6280AEC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571" w:hRule="atLeast"/>
          <w:jc w:val="center"/>
        </w:trPr>
        <w:tc>
          <w:tcPr>
            <w:tcW w:w="263" w:type="pct"/>
            <w:tcBorders>
              <w:top w:val="single" w:color="000000" w:sz="4" w:space="0"/>
              <w:bottom w:val="single" w:color="000000" w:sz="4" w:space="0"/>
              <w:right w:val="single" w:color="000000" w:sz="4" w:space="0"/>
            </w:tcBorders>
            <w:noWrap w:val="0"/>
            <w:vAlign w:val="center"/>
          </w:tcPr>
          <w:p w14:paraId="28D5243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11</w:t>
            </w:r>
          </w:p>
        </w:tc>
        <w:tc>
          <w:tcPr>
            <w:tcW w:w="617" w:type="pct"/>
            <w:vMerge w:val="continue"/>
            <w:tcBorders>
              <w:left w:val="single" w:color="000000" w:sz="4" w:space="0"/>
              <w:right w:val="single" w:color="000000" w:sz="4" w:space="0"/>
            </w:tcBorders>
            <w:noWrap w:val="0"/>
            <w:vAlign w:val="center"/>
          </w:tcPr>
          <w:p w14:paraId="4430B68D">
            <w:pPr>
              <w:keepNext w:val="0"/>
              <w:keepLines w:val="0"/>
              <w:pageBreakBefore w:val="0"/>
              <w:widowControl/>
              <w:kinsoku/>
              <w:wordWrap/>
              <w:overflowPunct/>
              <w:topLinePunct w:val="0"/>
              <w:autoSpaceDE/>
              <w:autoSpaceDN/>
              <w:bidi w:val="0"/>
              <w:adjustRightInd/>
              <w:snapToGrid/>
              <w:spacing w:line="480" w:lineRule="exact"/>
              <w:ind w:firstLine="0" w:firstLineChars="0"/>
              <w:jc w:val="left"/>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5FDD08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特种设备使用单位是否按照安全技术规范的要求，在检验合格有效期届满前一个月向特种设备检验机构提出定期检验要求。</w:t>
            </w:r>
          </w:p>
        </w:tc>
        <w:tc>
          <w:tcPr>
            <w:tcW w:w="1781" w:type="pct"/>
            <w:tcBorders>
              <w:top w:val="single" w:color="auto" w:sz="4" w:space="0"/>
              <w:left w:val="single" w:color="000000" w:sz="4" w:space="0"/>
              <w:bottom w:val="single" w:color="000000" w:sz="4" w:space="0"/>
            </w:tcBorders>
            <w:noWrap w:val="0"/>
            <w:vAlign w:val="center"/>
          </w:tcPr>
          <w:p w14:paraId="6C665FE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《中华人民共和国特种设备安全法》</w:t>
            </w:r>
          </w:p>
        </w:tc>
      </w:tr>
      <w:tr w14:paraId="754785D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5000" w:type="pct"/>
            <w:gridSpan w:val="4"/>
            <w:tcBorders>
              <w:top w:val="single" w:color="000000" w:sz="4" w:space="0"/>
              <w:bottom w:val="single" w:color="000000" w:sz="4" w:space="0"/>
            </w:tcBorders>
            <w:noWrap w:val="0"/>
            <w:vAlign w:val="center"/>
          </w:tcPr>
          <w:p w14:paraId="78BFE964">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消防安全</w:t>
            </w:r>
          </w:p>
        </w:tc>
      </w:tr>
      <w:tr w14:paraId="2BC2148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141" w:hRule="atLeast"/>
          <w:jc w:val="center"/>
        </w:trPr>
        <w:tc>
          <w:tcPr>
            <w:tcW w:w="263" w:type="pct"/>
            <w:tcBorders>
              <w:top w:val="single" w:color="000000" w:sz="4" w:space="0"/>
              <w:bottom w:val="single" w:color="000000" w:sz="4" w:space="0"/>
              <w:right w:val="single" w:color="000000" w:sz="4" w:space="0"/>
            </w:tcBorders>
            <w:noWrap w:val="0"/>
            <w:vAlign w:val="center"/>
          </w:tcPr>
          <w:p w14:paraId="656B38E4">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序号</w:t>
            </w:r>
          </w:p>
        </w:tc>
        <w:tc>
          <w:tcPr>
            <w:tcW w:w="617" w:type="pct"/>
            <w:tcBorders>
              <w:left w:val="single" w:color="000000" w:sz="4" w:space="0"/>
              <w:right w:val="single" w:color="000000" w:sz="4" w:space="0"/>
            </w:tcBorders>
            <w:noWrap w:val="0"/>
            <w:vAlign w:val="center"/>
          </w:tcPr>
          <w:p w14:paraId="21E1BFC6">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检查项目</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59C8D060">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检查事项</w:t>
            </w:r>
          </w:p>
        </w:tc>
        <w:tc>
          <w:tcPr>
            <w:tcW w:w="1781" w:type="pct"/>
            <w:tcBorders>
              <w:top w:val="single" w:color="auto" w:sz="4" w:space="0"/>
              <w:left w:val="single" w:color="000000" w:sz="4" w:space="0"/>
              <w:bottom w:val="single" w:color="000000" w:sz="4" w:space="0"/>
            </w:tcBorders>
            <w:noWrap w:val="0"/>
            <w:vAlign w:val="center"/>
          </w:tcPr>
          <w:p w14:paraId="730C3684">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0D1219D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263" w:type="pct"/>
            <w:tcBorders>
              <w:top w:val="single" w:color="000000" w:sz="4" w:space="0"/>
              <w:bottom w:val="single" w:color="000000" w:sz="4" w:space="0"/>
              <w:right w:val="single" w:color="000000" w:sz="4" w:space="0"/>
            </w:tcBorders>
            <w:noWrap w:val="0"/>
            <w:vAlign w:val="center"/>
          </w:tcPr>
          <w:p w14:paraId="465557D7">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1</w:t>
            </w:r>
          </w:p>
        </w:tc>
        <w:tc>
          <w:tcPr>
            <w:tcW w:w="617" w:type="pct"/>
            <w:vMerge w:val="restart"/>
            <w:tcBorders>
              <w:left w:val="single" w:color="000000" w:sz="4" w:space="0"/>
              <w:right w:val="single" w:color="000000" w:sz="4" w:space="0"/>
            </w:tcBorders>
            <w:noWrap w:val="0"/>
            <w:vAlign w:val="center"/>
          </w:tcPr>
          <w:p w14:paraId="6270E59F">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default" w:ascii="Times New Roman" w:hAnsi="Times New Roman" w:eastAsia="方正楷体_GBK" w:cs="Times New Roman"/>
                <w:spacing w:val="-11"/>
                <w:kern w:val="2"/>
                <w:sz w:val="30"/>
                <w:szCs w:val="30"/>
                <w:highlight w:val="none"/>
                <w:u w:val="none"/>
                <w:lang w:val="en-US" w:eastAsia="zh-CN"/>
              </w:rPr>
            </w:pPr>
            <w:r>
              <w:rPr>
                <w:rFonts w:hint="default" w:ascii="Times New Roman" w:hAnsi="Times New Roman" w:eastAsia="方正楷体_GBK" w:cs="Times New Roman"/>
                <w:spacing w:val="-11"/>
                <w:kern w:val="2"/>
                <w:sz w:val="30"/>
                <w:szCs w:val="30"/>
                <w:highlight w:val="none"/>
                <w:u w:val="none"/>
                <w:lang w:val="en-US" w:eastAsia="zh-CN"/>
              </w:rPr>
              <w:t>装饰装修</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2A5CAC4B">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是否使用易燃可燃夹芯彩钢板。</w:t>
            </w:r>
          </w:p>
        </w:tc>
        <w:tc>
          <w:tcPr>
            <w:tcW w:w="1781" w:type="pct"/>
            <w:tcBorders>
              <w:top w:val="single" w:color="auto" w:sz="4" w:space="0"/>
              <w:left w:val="single" w:color="000000" w:sz="4" w:space="0"/>
              <w:bottom w:val="single" w:color="000000" w:sz="4" w:space="0"/>
            </w:tcBorders>
            <w:noWrap w:val="0"/>
            <w:vAlign w:val="center"/>
          </w:tcPr>
          <w:p w14:paraId="45357B6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p w14:paraId="432E39E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473DBF3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3729416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499" w:hRule="atLeast"/>
          <w:jc w:val="center"/>
        </w:trPr>
        <w:tc>
          <w:tcPr>
            <w:tcW w:w="263" w:type="pct"/>
            <w:tcBorders>
              <w:top w:val="single" w:color="000000" w:sz="4" w:space="0"/>
              <w:bottom w:val="single" w:color="000000" w:sz="4" w:space="0"/>
              <w:right w:val="single" w:color="000000" w:sz="4" w:space="0"/>
            </w:tcBorders>
            <w:noWrap w:val="0"/>
            <w:vAlign w:val="center"/>
          </w:tcPr>
          <w:p w14:paraId="1B5C0E34">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2</w:t>
            </w:r>
          </w:p>
        </w:tc>
        <w:tc>
          <w:tcPr>
            <w:tcW w:w="617" w:type="pct"/>
            <w:vMerge w:val="continue"/>
            <w:tcBorders>
              <w:left w:val="single" w:color="000000" w:sz="4" w:space="0"/>
              <w:right w:val="single" w:color="000000" w:sz="4" w:space="0"/>
            </w:tcBorders>
            <w:noWrap w:val="0"/>
            <w:vAlign w:val="center"/>
          </w:tcPr>
          <w:p w14:paraId="06267777">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default" w:ascii="Times New Roman" w:hAnsi="Times New Roman" w:eastAsia="方正楷体_GBK" w:cs="Times New Roman"/>
                <w:spacing w:val="-11"/>
                <w:kern w:val="2"/>
                <w:sz w:val="30"/>
                <w:szCs w:val="30"/>
                <w:highlight w:val="none"/>
                <w:u w:val="none"/>
                <w:lang w:val="en-US" w:eastAsia="zh-CN"/>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2CD07A8C">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房间顶棚和屋面是否采用易燃可燃材料。</w:t>
            </w:r>
          </w:p>
        </w:tc>
        <w:tc>
          <w:tcPr>
            <w:tcW w:w="1781" w:type="pct"/>
            <w:tcBorders>
              <w:top w:val="single" w:color="auto" w:sz="4" w:space="0"/>
              <w:left w:val="single" w:color="000000" w:sz="4" w:space="0"/>
              <w:bottom w:val="single" w:color="000000" w:sz="4" w:space="0"/>
            </w:tcBorders>
            <w:noWrap w:val="0"/>
            <w:vAlign w:val="center"/>
          </w:tcPr>
          <w:p w14:paraId="77E6CEA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p w14:paraId="5960F8F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1A9011C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0C5E85A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263" w:type="pct"/>
            <w:tcBorders>
              <w:top w:val="single" w:color="000000" w:sz="4" w:space="0"/>
              <w:bottom w:val="single" w:color="000000" w:sz="4" w:space="0"/>
              <w:right w:val="single" w:color="000000" w:sz="4" w:space="0"/>
            </w:tcBorders>
            <w:noWrap w:val="0"/>
            <w:vAlign w:val="center"/>
          </w:tcPr>
          <w:p w14:paraId="19DB3BEA">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3</w:t>
            </w:r>
          </w:p>
        </w:tc>
        <w:tc>
          <w:tcPr>
            <w:tcW w:w="617" w:type="pct"/>
            <w:vMerge w:val="continue"/>
            <w:tcBorders>
              <w:left w:val="single" w:color="000000" w:sz="4" w:space="0"/>
              <w:right w:val="single" w:color="000000" w:sz="4" w:space="0"/>
            </w:tcBorders>
            <w:noWrap w:val="0"/>
            <w:vAlign w:val="center"/>
          </w:tcPr>
          <w:p w14:paraId="28696EC6">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default" w:ascii="Times New Roman" w:hAnsi="Times New Roman" w:eastAsia="方正楷体_GBK" w:cs="Times New Roman"/>
                <w:spacing w:val="-11"/>
                <w:kern w:val="2"/>
                <w:sz w:val="30"/>
                <w:szCs w:val="30"/>
                <w:highlight w:val="none"/>
                <w:u w:val="none"/>
                <w:lang w:val="en-US" w:eastAsia="zh-CN"/>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9B6B199">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vertAlign w:val="baseline"/>
                <w:lang w:val="en-US" w:eastAsia="zh-CN"/>
              </w:rPr>
              <w:t>外墙外保温和外立面装饰是否采用易燃可燃材料</w:t>
            </w:r>
            <w:r>
              <w:rPr>
                <w:rFonts w:hint="eastAsia" w:ascii="方正仿宋_GBK" w:hAnsi="方正仿宋_GBK" w:eastAsia="方正仿宋_GBK" w:cs="方正仿宋_GBK"/>
                <w:color w:val="000000"/>
                <w:kern w:val="0"/>
                <w:sz w:val="30"/>
                <w:szCs w:val="30"/>
                <w:highlight w:val="none"/>
                <w:lang w:eastAsia="zh-CN"/>
              </w:rPr>
              <w:t>。</w:t>
            </w:r>
          </w:p>
        </w:tc>
        <w:tc>
          <w:tcPr>
            <w:tcW w:w="1781" w:type="pct"/>
            <w:tcBorders>
              <w:top w:val="single" w:color="auto" w:sz="4" w:space="0"/>
              <w:left w:val="single" w:color="000000" w:sz="4" w:space="0"/>
              <w:bottom w:val="single" w:color="000000" w:sz="4" w:space="0"/>
            </w:tcBorders>
            <w:noWrap w:val="0"/>
            <w:vAlign w:val="center"/>
          </w:tcPr>
          <w:p w14:paraId="4DC7A01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p w14:paraId="7848DBC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3F27F94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457" w:hRule="atLeast"/>
          <w:jc w:val="center"/>
        </w:trPr>
        <w:tc>
          <w:tcPr>
            <w:tcW w:w="263" w:type="pct"/>
            <w:tcBorders>
              <w:top w:val="single" w:color="000000" w:sz="4" w:space="0"/>
              <w:bottom w:val="single" w:color="000000" w:sz="4" w:space="0"/>
              <w:right w:val="single" w:color="000000" w:sz="4" w:space="0"/>
            </w:tcBorders>
            <w:noWrap w:val="0"/>
            <w:vAlign w:val="center"/>
          </w:tcPr>
          <w:p w14:paraId="11EBAEDE">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4</w:t>
            </w:r>
          </w:p>
        </w:tc>
        <w:tc>
          <w:tcPr>
            <w:tcW w:w="617" w:type="pct"/>
            <w:vMerge w:val="restart"/>
            <w:tcBorders>
              <w:left w:val="single" w:color="000000" w:sz="4" w:space="0"/>
              <w:right w:val="single" w:color="000000" w:sz="4" w:space="0"/>
            </w:tcBorders>
            <w:noWrap w:val="0"/>
            <w:vAlign w:val="center"/>
          </w:tcPr>
          <w:p w14:paraId="62029BA9">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default" w:ascii="Times New Roman" w:hAnsi="Times New Roman" w:eastAsia="方正楷体_GBK" w:cs="Times New Roman"/>
                <w:spacing w:val="-11"/>
                <w:kern w:val="2"/>
                <w:sz w:val="30"/>
                <w:szCs w:val="30"/>
                <w:highlight w:val="none"/>
                <w:u w:val="none"/>
                <w:lang w:val="en-US" w:eastAsia="zh-CN"/>
              </w:rPr>
            </w:pPr>
            <w:r>
              <w:rPr>
                <w:rFonts w:hint="default" w:ascii="Times New Roman" w:hAnsi="Times New Roman" w:eastAsia="方正楷体_GBK" w:cs="Times New Roman"/>
                <w:spacing w:val="-11"/>
                <w:kern w:val="2"/>
                <w:sz w:val="30"/>
                <w:szCs w:val="30"/>
                <w:highlight w:val="none"/>
                <w:u w:val="none"/>
                <w:lang w:val="en-US" w:eastAsia="zh-CN"/>
              </w:rPr>
              <w:t>防火分隔</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52429B8">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老年人居室是否按要求采用不燃性墙体分隔，是否分隔至梁、楼板或屋面板的底面基层。</w:t>
            </w:r>
          </w:p>
        </w:tc>
        <w:tc>
          <w:tcPr>
            <w:tcW w:w="1781" w:type="pct"/>
            <w:tcBorders>
              <w:top w:val="single" w:color="auto" w:sz="4" w:space="0"/>
              <w:left w:val="single" w:color="000000" w:sz="4" w:space="0"/>
              <w:bottom w:val="single" w:color="000000" w:sz="4" w:space="0"/>
            </w:tcBorders>
            <w:noWrap w:val="0"/>
            <w:vAlign w:val="center"/>
          </w:tcPr>
          <w:p w14:paraId="321F54A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7D3533D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3591B7E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499" w:hRule="atLeast"/>
          <w:jc w:val="center"/>
        </w:trPr>
        <w:tc>
          <w:tcPr>
            <w:tcW w:w="263" w:type="pct"/>
            <w:tcBorders>
              <w:top w:val="single" w:color="000000" w:sz="4" w:space="0"/>
              <w:bottom w:val="single" w:color="000000" w:sz="4" w:space="0"/>
              <w:right w:val="single" w:color="000000" w:sz="4" w:space="0"/>
            </w:tcBorders>
            <w:noWrap w:val="0"/>
            <w:vAlign w:val="center"/>
          </w:tcPr>
          <w:p w14:paraId="0DE9A838">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5</w:t>
            </w:r>
          </w:p>
        </w:tc>
        <w:tc>
          <w:tcPr>
            <w:tcW w:w="617" w:type="pct"/>
            <w:vMerge w:val="continue"/>
            <w:tcBorders>
              <w:left w:val="single" w:color="000000" w:sz="4" w:space="0"/>
              <w:right w:val="single" w:color="000000" w:sz="4" w:space="0"/>
            </w:tcBorders>
            <w:noWrap w:val="0"/>
            <w:vAlign w:val="center"/>
          </w:tcPr>
          <w:p w14:paraId="56237AC3">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D102321">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vertAlign w:val="baseline"/>
                <w:lang w:val="en-US" w:eastAsia="zh-CN"/>
              </w:rPr>
              <w:t>电缆井是否进行防火封堵。</w:t>
            </w:r>
          </w:p>
        </w:tc>
        <w:tc>
          <w:tcPr>
            <w:tcW w:w="1781" w:type="pct"/>
            <w:tcBorders>
              <w:top w:val="single" w:color="auto" w:sz="4" w:space="0"/>
              <w:left w:val="single" w:color="000000" w:sz="4" w:space="0"/>
              <w:bottom w:val="single" w:color="000000" w:sz="4" w:space="0"/>
            </w:tcBorders>
            <w:noWrap w:val="0"/>
            <w:vAlign w:val="center"/>
          </w:tcPr>
          <w:p w14:paraId="740A469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p w14:paraId="56BD260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3C40C7A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148B76C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263" w:type="pct"/>
            <w:tcBorders>
              <w:top w:val="single" w:color="000000" w:sz="4" w:space="0"/>
              <w:right w:val="single" w:color="000000" w:sz="4" w:space="0"/>
            </w:tcBorders>
            <w:noWrap w:val="0"/>
            <w:vAlign w:val="center"/>
          </w:tcPr>
          <w:p w14:paraId="6E11339D">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6</w:t>
            </w:r>
          </w:p>
        </w:tc>
        <w:tc>
          <w:tcPr>
            <w:tcW w:w="617" w:type="pct"/>
            <w:tcBorders>
              <w:left w:val="single" w:color="000000" w:sz="4" w:space="0"/>
              <w:right w:val="single" w:color="000000" w:sz="4" w:space="0"/>
            </w:tcBorders>
            <w:noWrap w:val="0"/>
            <w:vAlign w:val="center"/>
          </w:tcPr>
          <w:p w14:paraId="6B5B96CD">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eastAsia" w:ascii="Times New Roman" w:hAnsi="Times New Roman" w:eastAsia="方正楷体_GBK" w:cs="Times New Roman"/>
                <w:kern w:val="2"/>
                <w:sz w:val="30"/>
                <w:szCs w:val="30"/>
                <w:vertAlign w:val="baseline"/>
                <w:lang w:val="en-US" w:eastAsia="zh-CN" w:bidi="ar-SA"/>
              </w:rPr>
            </w:pPr>
            <w:r>
              <w:rPr>
                <w:rFonts w:hint="default" w:ascii="Times New Roman" w:hAnsi="Times New Roman" w:eastAsia="方正楷体_GBK" w:cs="Times New Roman"/>
                <w:sz w:val="30"/>
                <w:szCs w:val="30"/>
                <w:vertAlign w:val="baseline"/>
                <w:lang w:val="en-US" w:eastAsia="zh-CN"/>
              </w:rPr>
              <w:t>消防设施</w:t>
            </w:r>
            <w:r>
              <w:rPr>
                <w:rFonts w:hint="eastAsia" w:ascii="Times New Roman" w:hAnsi="Times New Roman" w:eastAsia="方正楷体_GBK" w:cs="Times New Roman"/>
                <w:sz w:val="30"/>
                <w:szCs w:val="30"/>
                <w:vertAlign w:val="baseline"/>
                <w:lang w:val="en-US" w:eastAsia="zh-CN"/>
              </w:rPr>
              <w:t>及用电设备</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D4AA587">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消防设施是否停用失效。</w:t>
            </w:r>
          </w:p>
        </w:tc>
        <w:tc>
          <w:tcPr>
            <w:tcW w:w="1781" w:type="pct"/>
            <w:tcBorders>
              <w:top w:val="single" w:color="auto" w:sz="4" w:space="0"/>
              <w:left w:val="single" w:color="000000" w:sz="4" w:space="0"/>
              <w:bottom w:val="single" w:color="000000" w:sz="4" w:space="0"/>
            </w:tcBorders>
            <w:noWrap w:val="0"/>
            <w:vAlign w:val="center"/>
          </w:tcPr>
          <w:p w14:paraId="4C20BD9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《中华人民共和国消防法》</w:t>
            </w:r>
          </w:p>
          <w:p w14:paraId="3EC928B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11EB676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31F19E7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093" w:hRule="atLeast"/>
          <w:jc w:val="center"/>
        </w:trPr>
        <w:tc>
          <w:tcPr>
            <w:tcW w:w="263" w:type="pct"/>
            <w:tcBorders>
              <w:top w:val="single" w:color="000000" w:sz="4" w:space="0"/>
              <w:bottom w:val="single" w:color="000000" w:sz="4" w:space="0"/>
              <w:right w:val="single" w:color="000000" w:sz="4" w:space="0"/>
            </w:tcBorders>
            <w:noWrap w:val="0"/>
            <w:vAlign w:val="center"/>
          </w:tcPr>
          <w:p w14:paraId="32EAAD89">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7</w:t>
            </w:r>
          </w:p>
        </w:tc>
        <w:tc>
          <w:tcPr>
            <w:tcW w:w="617" w:type="pct"/>
            <w:tcBorders>
              <w:left w:val="single" w:color="000000" w:sz="4" w:space="0"/>
              <w:right w:val="single" w:color="000000" w:sz="4" w:space="0"/>
            </w:tcBorders>
            <w:noWrap w:val="0"/>
            <w:vAlign w:val="center"/>
          </w:tcPr>
          <w:p w14:paraId="512542F7">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eastAsia" w:ascii="Times New Roman" w:hAnsi="Times New Roman" w:eastAsia="方正楷体_GBK" w:cs="Times New Roman"/>
                <w:kern w:val="2"/>
                <w:sz w:val="30"/>
                <w:szCs w:val="30"/>
                <w:vertAlign w:val="baseline"/>
                <w:lang w:val="en-US" w:eastAsia="zh-CN" w:bidi="ar-SA"/>
              </w:rPr>
            </w:pPr>
            <w:r>
              <w:rPr>
                <w:rFonts w:hint="default" w:ascii="Times New Roman" w:hAnsi="Times New Roman" w:eastAsia="方正楷体_GBK" w:cs="Times New Roman"/>
                <w:sz w:val="30"/>
                <w:szCs w:val="30"/>
                <w:vertAlign w:val="baseline"/>
                <w:lang w:val="en-US" w:eastAsia="zh-CN"/>
              </w:rPr>
              <w:t>值班值守</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32148EA">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消防控制室是否存在值班脱岗、无证上岗。</w:t>
            </w:r>
          </w:p>
        </w:tc>
        <w:tc>
          <w:tcPr>
            <w:tcW w:w="1781" w:type="pct"/>
            <w:tcBorders>
              <w:top w:val="single" w:color="auto" w:sz="4" w:space="0"/>
              <w:left w:val="single" w:color="000000" w:sz="4" w:space="0"/>
              <w:bottom w:val="single" w:color="000000" w:sz="4" w:space="0"/>
            </w:tcBorders>
            <w:noWrap w:val="0"/>
            <w:vAlign w:val="center"/>
          </w:tcPr>
          <w:p w14:paraId="46BAC05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rPr>
              <w:t>消防控制室通用技术要求</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rPr>
              <w:t>GB25506-2010</w:t>
            </w:r>
            <w:r>
              <w:rPr>
                <w:rFonts w:hint="eastAsia" w:ascii="方正仿宋_GBK" w:hAnsi="方正仿宋_GBK" w:eastAsia="方正仿宋_GBK" w:cs="方正仿宋_GBK"/>
                <w:color w:val="000000"/>
                <w:kern w:val="0"/>
                <w:sz w:val="30"/>
                <w:szCs w:val="30"/>
                <w:highlight w:val="none"/>
                <w:lang w:eastAsia="zh-CN"/>
              </w:rPr>
              <w:t>）</w:t>
            </w:r>
          </w:p>
          <w:p w14:paraId="37F1ACB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65B3FFC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43359CD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623" w:hRule="atLeast"/>
          <w:jc w:val="center"/>
        </w:trPr>
        <w:tc>
          <w:tcPr>
            <w:tcW w:w="263" w:type="pct"/>
            <w:tcBorders>
              <w:top w:val="single" w:color="000000" w:sz="4" w:space="0"/>
              <w:bottom w:val="single" w:color="000000" w:sz="4" w:space="0"/>
              <w:right w:val="single" w:color="000000" w:sz="4" w:space="0"/>
            </w:tcBorders>
            <w:noWrap w:val="0"/>
            <w:vAlign w:val="center"/>
          </w:tcPr>
          <w:p w14:paraId="1A733BDD">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8</w:t>
            </w:r>
          </w:p>
        </w:tc>
        <w:tc>
          <w:tcPr>
            <w:tcW w:w="617" w:type="pct"/>
            <w:vMerge w:val="restart"/>
            <w:tcBorders>
              <w:left w:val="single" w:color="000000" w:sz="4" w:space="0"/>
              <w:right w:val="single" w:color="000000" w:sz="4" w:space="0"/>
            </w:tcBorders>
            <w:noWrap w:val="0"/>
            <w:vAlign w:val="center"/>
          </w:tcPr>
          <w:p w14:paraId="7376D026">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eastAsia" w:ascii="Times New Roman" w:hAnsi="Times New Roman" w:eastAsia="方正楷体_GBK" w:cs="Times New Roman"/>
                <w:kern w:val="2"/>
                <w:sz w:val="30"/>
                <w:szCs w:val="30"/>
                <w:vertAlign w:val="baseline"/>
                <w:lang w:val="en-US" w:eastAsia="zh-CN" w:bidi="ar-SA"/>
              </w:rPr>
            </w:pPr>
            <w:r>
              <w:rPr>
                <w:rFonts w:hint="default" w:ascii="Times New Roman" w:hAnsi="Times New Roman" w:eastAsia="方正楷体_GBK" w:cs="Times New Roman"/>
                <w:spacing w:val="-11"/>
                <w:sz w:val="30"/>
                <w:szCs w:val="30"/>
                <w:vertAlign w:val="baseline"/>
                <w:lang w:val="en-US" w:eastAsia="zh-CN"/>
              </w:rPr>
              <w:t>安全疏散</w:t>
            </w:r>
            <w:r>
              <w:rPr>
                <w:rFonts w:hint="eastAsia" w:ascii="Calibri" w:hAnsi="Calibri" w:eastAsia="方正楷体_GBK" w:cs="Times New Roman"/>
                <w:spacing w:val="-11"/>
                <w:sz w:val="30"/>
                <w:szCs w:val="30"/>
                <w:vertAlign w:val="baseline"/>
                <w:lang w:val="en-US" w:eastAsia="zh-CN"/>
              </w:rPr>
              <w:t>和避难逃生</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6676D81">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是否按要求设置避难间及安全疏散设施。</w:t>
            </w:r>
          </w:p>
        </w:tc>
        <w:tc>
          <w:tcPr>
            <w:tcW w:w="1781" w:type="pct"/>
            <w:tcBorders>
              <w:top w:val="single" w:color="auto" w:sz="4" w:space="0"/>
              <w:left w:val="single" w:color="000000" w:sz="4" w:space="0"/>
              <w:bottom w:val="single" w:color="000000" w:sz="4" w:space="0"/>
            </w:tcBorders>
            <w:noWrap w:val="0"/>
            <w:vAlign w:val="center"/>
          </w:tcPr>
          <w:p w14:paraId="4F4CEF6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p w14:paraId="3F01C4C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518A64F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5001E3C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377" w:hRule="atLeast"/>
          <w:jc w:val="center"/>
        </w:trPr>
        <w:tc>
          <w:tcPr>
            <w:tcW w:w="263" w:type="pct"/>
            <w:tcBorders>
              <w:top w:val="single" w:color="000000" w:sz="4" w:space="0"/>
              <w:bottom w:val="single" w:color="000000" w:sz="4" w:space="0"/>
              <w:right w:val="single" w:color="000000" w:sz="4" w:space="0"/>
            </w:tcBorders>
            <w:noWrap w:val="0"/>
            <w:vAlign w:val="center"/>
          </w:tcPr>
          <w:p w14:paraId="26595A8D">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9</w:t>
            </w:r>
          </w:p>
        </w:tc>
        <w:tc>
          <w:tcPr>
            <w:tcW w:w="617" w:type="pct"/>
            <w:vMerge w:val="continue"/>
            <w:tcBorders>
              <w:left w:val="single" w:color="000000" w:sz="4" w:space="0"/>
              <w:right w:val="single" w:color="000000" w:sz="4" w:space="0"/>
            </w:tcBorders>
            <w:noWrap w:val="0"/>
            <w:vAlign w:val="center"/>
          </w:tcPr>
          <w:p w14:paraId="5230A141">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eastAsia" w:ascii="Times New Roman" w:hAnsi="Times New Roman" w:eastAsia="方正楷体_GBK" w:cs="Times New Roman"/>
                <w:kern w:val="2"/>
                <w:sz w:val="30"/>
                <w:szCs w:val="30"/>
                <w:vertAlign w:val="baseline"/>
                <w:lang w:val="en-US" w:eastAsia="zh-CN" w:bidi="ar-SA"/>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2474966">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新建、改扩建的养老机构</w:t>
            </w:r>
            <w:r>
              <w:rPr>
                <w:rFonts w:hint="eastAsia" w:ascii="方正仿宋_GBK" w:hAnsi="方正仿宋_GBK" w:eastAsia="方正仿宋_GBK" w:cs="方正仿宋_GBK"/>
                <w:color w:val="000000"/>
                <w:kern w:val="0"/>
                <w:sz w:val="30"/>
                <w:szCs w:val="30"/>
                <w:highlight w:val="none"/>
                <w:lang w:val="en-US" w:eastAsia="zh-CN"/>
              </w:rPr>
              <w:t>是否</w:t>
            </w:r>
            <w:r>
              <w:rPr>
                <w:rFonts w:hint="eastAsia" w:ascii="方正仿宋_GBK" w:hAnsi="方正仿宋_GBK" w:eastAsia="方正仿宋_GBK" w:cs="方正仿宋_GBK"/>
                <w:color w:val="000000"/>
                <w:kern w:val="0"/>
                <w:sz w:val="30"/>
                <w:szCs w:val="30"/>
                <w:highlight w:val="none"/>
              </w:rPr>
              <w:t>建立中度和重度失能老年人生活单元、照料单元安全防护体系</w:t>
            </w:r>
            <w:r>
              <w:rPr>
                <w:rFonts w:hint="eastAsia" w:ascii="方正仿宋_GBK" w:hAnsi="方正仿宋_GBK" w:eastAsia="方正仿宋_GBK" w:cs="方正仿宋_GBK"/>
                <w:color w:val="000000"/>
                <w:kern w:val="0"/>
                <w:sz w:val="30"/>
                <w:szCs w:val="30"/>
                <w:highlight w:val="none"/>
                <w:lang w:val="en-US" w:eastAsia="zh-CN"/>
              </w:rPr>
              <w:t>。</w:t>
            </w:r>
          </w:p>
        </w:tc>
        <w:tc>
          <w:tcPr>
            <w:tcW w:w="1781" w:type="pct"/>
            <w:tcBorders>
              <w:top w:val="single" w:color="auto" w:sz="4" w:space="0"/>
              <w:left w:val="single" w:color="000000" w:sz="4" w:space="0"/>
              <w:bottom w:val="single" w:color="000000" w:sz="4" w:space="0"/>
            </w:tcBorders>
            <w:noWrap w:val="0"/>
            <w:vAlign w:val="center"/>
          </w:tcPr>
          <w:p w14:paraId="322D497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tc>
      </w:tr>
      <w:tr w14:paraId="0CBE2D2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120" w:hRule="atLeast"/>
          <w:jc w:val="center"/>
        </w:trPr>
        <w:tc>
          <w:tcPr>
            <w:tcW w:w="263" w:type="pct"/>
            <w:tcBorders>
              <w:top w:val="single" w:color="000000" w:sz="4" w:space="0"/>
              <w:bottom w:val="single" w:color="000000" w:sz="4" w:space="0"/>
              <w:right w:val="single" w:color="000000" w:sz="4" w:space="0"/>
            </w:tcBorders>
            <w:noWrap w:val="0"/>
            <w:vAlign w:val="center"/>
          </w:tcPr>
          <w:p w14:paraId="5C2842E4">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10</w:t>
            </w:r>
          </w:p>
        </w:tc>
        <w:tc>
          <w:tcPr>
            <w:tcW w:w="617" w:type="pct"/>
            <w:tcBorders>
              <w:left w:val="single" w:color="000000" w:sz="4" w:space="0"/>
              <w:right w:val="single" w:color="000000" w:sz="4" w:space="0"/>
            </w:tcBorders>
            <w:noWrap w:val="0"/>
            <w:vAlign w:val="center"/>
          </w:tcPr>
          <w:p w14:paraId="7A88AC55">
            <w:pPr>
              <w:keepNext w:val="0"/>
              <w:keepLines w:val="0"/>
              <w:pageBreakBefore w:val="0"/>
              <w:widowControl/>
              <w:kinsoku/>
              <w:wordWrap/>
              <w:overflowPunct/>
              <w:topLinePunct w:val="0"/>
              <w:autoSpaceDE/>
              <w:autoSpaceDN/>
              <w:bidi w:val="0"/>
              <w:adjustRightInd/>
              <w:snapToGrid/>
              <w:spacing w:line="480" w:lineRule="exact"/>
              <w:ind w:right="-48" w:rightChars="-23" w:firstLine="0" w:firstLineChars="0"/>
              <w:jc w:val="center"/>
              <w:textAlignment w:val="auto"/>
              <w:rPr>
                <w:rFonts w:hint="eastAsia" w:ascii="Times New Roman" w:hAnsi="Times New Roman" w:eastAsia="方正楷体_GBK" w:cs="Times New Roman"/>
                <w:kern w:val="2"/>
                <w:sz w:val="30"/>
                <w:szCs w:val="30"/>
                <w:vertAlign w:val="baseline"/>
                <w:lang w:val="en-US" w:eastAsia="zh-CN" w:bidi="ar-SA"/>
              </w:rPr>
            </w:pPr>
            <w:r>
              <w:rPr>
                <w:rFonts w:hint="eastAsia" w:ascii="Calibri" w:hAnsi="Calibri" w:eastAsia="方正楷体_GBK" w:cs="Times New Roman"/>
                <w:spacing w:val="-11"/>
                <w:sz w:val="30"/>
                <w:szCs w:val="30"/>
                <w:vertAlign w:val="baseline"/>
                <w:lang w:val="en-US" w:eastAsia="zh-CN"/>
              </w:rPr>
              <w:t>预案制定和演练</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94E13FA">
            <w:pPr>
              <w:keepNext w:val="0"/>
              <w:keepLines w:val="0"/>
              <w:pageBreakBefore w:val="0"/>
              <w:widowControl/>
              <w:kinsoku/>
              <w:wordWrap/>
              <w:overflowPunct/>
              <w:topLinePunct w:val="0"/>
              <w:autoSpaceDE/>
              <w:autoSpaceDN/>
              <w:bidi w:val="0"/>
              <w:adjustRightInd/>
              <w:snapToGrid/>
              <w:spacing w:line="480" w:lineRule="exact"/>
              <w:ind w:right="0" w:rightChars="0" w:firstLine="0" w:firstLineChars="0"/>
              <w:jc w:val="left"/>
              <w:textAlignment w:val="center"/>
              <w:rPr>
                <w:rFonts w:hint="eastAsia" w:ascii="方正仿宋_GBK" w:hAnsi="方正仿宋_GBK" w:eastAsia="方正仿宋_GBK" w:cs="方正仿宋_GBK"/>
                <w:color w:val="000000"/>
                <w:kern w:val="0"/>
                <w:sz w:val="30"/>
                <w:szCs w:val="30"/>
                <w:highlight w:val="none"/>
                <w:vertAlign w:val="baseli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lang w:val="en-US" w:eastAsia="zh-CN"/>
              </w:rPr>
              <w:t>是否按要求制定灭火和应急疏散预案，是否常态化开展针对性消防演练。</w:t>
            </w:r>
          </w:p>
        </w:tc>
        <w:tc>
          <w:tcPr>
            <w:tcW w:w="1781" w:type="pct"/>
            <w:tcBorders>
              <w:top w:val="single" w:color="auto" w:sz="4" w:space="0"/>
              <w:left w:val="single" w:color="000000" w:sz="4" w:space="0"/>
              <w:bottom w:val="single" w:color="000000" w:sz="4" w:space="0"/>
            </w:tcBorders>
            <w:noWrap w:val="0"/>
            <w:vAlign w:val="center"/>
          </w:tcPr>
          <w:p w14:paraId="363EB26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val="en-US" w:eastAsia="zh-CN"/>
              </w:rPr>
              <w:t>《</w:t>
            </w:r>
            <w:r>
              <w:rPr>
                <w:rFonts w:hint="eastAsia" w:ascii="方正仿宋_GBK" w:hAnsi="方正仿宋_GBK" w:eastAsia="方正仿宋_GBK" w:cs="方正仿宋_GBK"/>
                <w:color w:val="000000"/>
                <w:kern w:val="0"/>
                <w:sz w:val="30"/>
                <w:szCs w:val="30"/>
                <w:highlight w:val="none"/>
              </w:rPr>
              <w:t>机关、团体、企业、事业单位消防安全管理规定</w:t>
            </w:r>
            <w:r>
              <w:rPr>
                <w:rFonts w:hint="eastAsia" w:ascii="方正仿宋_GBK" w:hAnsi="方正仿宋_GBK" w:eastAsia="方正仿宋_GBK" w:cs="方正仿宋_GBK"/>
                <w:color w:val="000000"/>
                <w:kern w:val="0"/>
                <w:sz w:val="30"/>
                <w:szCs w:val="30"/>
                <w:highlight w:val="none"/>
                <w:lang w:val="en-US" w:eastAsia="zh-CN"/>
              </w:rPr>
              <w:t>》（公安部令第61号）</w:t>
            </w:r>
          </w:p>
          <w:p w14:paraId="2B5DB2E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74292DB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1596E16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000" w:type="pct"/>
            <w:gridSpan w:val="4"/>
            <w:tcBorders>
              <w:top w:val="single" w:color="000000" w:sz="4" w:space="0"/>
              <w:bottom w:val="single" w:color="000000" w:sz="4" w:space="0"/>
            </w:tcBorders>
            <w:noWrap w:val="0"/>
            <w:vAlign w:val="center"/>
          </w:tcPr>
          <w:p w14:paraId="2C635A5B">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食品安全</w:t>
            </w:r>
          </w:p>
        </w:tc>
      </w:tr>
      <w:tr w14:paraId="40317A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059" w:hRule="atLeast"/>
          <w:jc w:val="center"/>
        </w:trPr>
        <w:tc>
          <w:tcPr>
            <w:tcW w:w="263" w:type="pct"/>
            <w:tcBorders>
              <w:top w:val="single" w:color="000000" w:sz="4" w:space="0"/>
              <w:bottom w:val="single" w:color="000000" w:sz="4" w:space="0"/>
              <w:right w:val="single" w:color="000000" w:sz="4" w:space="0"/>
            </w:tcBorders>
            <w:noWrap w:val="0"/>
            <w:vAlign w:val="center"/>
          </w:tcPr>
          <w:p w14:paraId="489ED0CA">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序号</w:t>
            </w:r>
          </w:p>
        </w:tc>
        <w:tc>
          <w:tcPr>
            <w:tcW w:w="617" w:type="pct"/>
            <w:tcBorders>
              <w:left w:val="single" w:color="000000" w:sz="4" w:space="0"/>
              <w:right w:val="single" w:color="000000" w:sz="4" w:space="0"/>
            </w:tcBorders>
            <w:noWrap w:val="0"/>
            <w:vAlign w:val="center"/>
          </w:tcPr>
          <w:p w14:paraId="67B6E738">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检查项目</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DE08B49">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检查事项</w:t>
            </w:r>
          </w:p>
        </w:tc>
        <w:tc>
          <w:tcPr>
            <w:tcW w:w="1781" w:type="pct"/>
            <w:tcBorders>
              <w:top w:val="single" w:color="auto" w:sz="4" w:space="0"/>
              <w:left w:val="single" w:color="000000" w:sz="4" w:space="0"/>
              <w:bottom w:val="single" w:color="000000" w:sz="4" w:space="0"/>
            </w:tcBorders>
            <w:noWrap w:val="0"/>
            <w:vAlign w:val="center"/>
          </w:tcPr>
          <w:p w14:paraId="6B691CE1">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15EFF1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307" w:hRule="atLeast"/>
          <w:jc w:val="center"/>
        </w:trPr>
        <w:tc>
          <w:tcPr>
            <w:tcW w:w="263" w:type="pct"/>
            <w:tcBorders>
              <w:top w:val="single" w:color="000000" w:sz="4" w:space="0"/>
              <w:bottom w:val="single" w:color="000000" w:sz="4" w:space="0"/>
              <w:right w:val="single" w:color="000000" w:sz="4" w:space="0"/>
            </w:tcBorders>
            <w:noWrap w:val="0"/>
            <w:vAlign w:val="center"/>
          </w:tcPr>
          <w:p w14:paraId="0E948EC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1</w:t>
            </w:r>
          </w:p>
        </w:tc>
        <w:tc>
          <w:tcPr>
            <w:tcW w:w="617" w:type="pct"/>
            <w:vMerge w:val="restart"/>
            <w:tcBorders>
              <w:left w:val="single" w:color="000000" w:sz="4" w:space="0"/>
              <w:right w:val="single" w:color="000000" w:sz="4" w:space="0"/>
            </w:tcBorders>
            <w:noWrap w:val="0"/>
            <w:vAlign w:val="center"/>
          </w:tcPr>
          <w:p w14:paraId="4F7F32C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食品安全主体责任落实</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91E980B">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养老机构食堂、承包经营企业是否取得合法有效的食品经营许可证；是否与承包经营企业依法签订合同。从供餐单位订餐的，是否从取得食品生产经营许可的供餐单位订购，并按照要求对订购的食品进行查验。</w:t>
            </w:r>
          </w:p>
        </w:tc>
        <w:tc>
          <w:tcPr>
            <w:tcW w:w="1781" w:type="pct"/>
            <w:tcBorders>
              <w:top w:val="single" w:color="auto" w:sz="4" w:space="0"/>
              <w:left w:val="single" w:color="000000" w:sz="4" w:space="0"/>
              <w:bottom w:val="single" w:color="000000" w:sz="4" w:space="0"/>
            </w:tcBorders>
            <w:noWrap w:val="0"/>
            <w:vAlign w:val="center"/>
          </w:tcPr>
          <w:p w14:paraId="2B973E5C">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20B450B8">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《中华人民共和国食品安全法实施条例》（国务院令第721号）</w:t>
            </w:r>
          </w:p>
          <w:p w14:paraId="743244FC">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《集中用餐单位落实食品安全主体责任监督管理规定》（市场监管总局令第98号）</w:t>
            </w:r>
          </w:p>
        </w:tc>
      </w:tr>
      <w:tr w14:paraId="6711709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561" w:hRule="atLeast"/>
          <w:jc w:val="center"/>
        </w:trPr>
        <w:tc>
          <w:tcPr>
            <w:tcW w:w="263" w:type="pct"/>
            <w:tcBorders>
              <w:top w:val="single" w:color="000000" w:sz="4" w:space="0"/>
              <w:bottom w:val="single" w:color="000000" w:sz="4" w:space="0"/>
              <w:right w:val="single" w:color="000000" w:sz="4" w:space="0"/>
            </w:tcBorders>
            <w:noWrap w:val="0"/>
            <w:vAlign w:val="center"/>
          </w:tcPr>
          <w:p w14:paraId="5344F28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2</w:t>
            </w:r>
          </w:p>
        </w:tc>
        <w:tc>
          <w:tcPr>
            <w:tcW w:w="617" w:type="pct"/>
            <w:vMerge w:val="continue"/>
            <w:tcBorders>
              <w:left w:val="single" w:color="000000" w:sz="4" w:space="0"/>
              <w:right w:val="single" w:color="000000" w:sz="4" w:space="0"/>
            </w:tcBorders>
            <w:noWrap w:val="0"/>
            <w:vAlign w:val="center"/>
          </w:tcPr>
          <w:p w14:paraId="3CD989E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D194E4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养老机构食堂、承包经营企业、供餐单位是否依法配备具备食品安全管理能力的食品安全总监、食品安全员；是否对食品安全总监、食品安全员进行</w:t>
            </w:r>
            <w:r>
              <w:rPr>
                <w:rFonts w:hint="eastAsia" w:ascii="方正仿宋_GBK" w:hAnsi="方正仿宋_GBK" w:eastAsia="方正仿宋_GBK" w:cs="方正仿宋_GBK"/>
                <w:i w:val="0"/>
                <w:iCs w:val="0"/>
                <w:color w:val="000000"/>
                <w:kern w:val="0"/>
                <w:sz w:val="30"/>
                <w:szCs w:val="30"/>
                <w:highlight w:val="none"/>
                <w:u w:val="none"/>
                <w:shd w:val="clear" w:color="auto" w:fill="FFFFFF"/>
                <w:lang w:val="en-US" w:eastAsia="zh-CN"/>
              </w:rPr>
              <w:t>法律、法规</w:t>
            </w:r>
            <w:r>
              <w:rPr>
                <w:rFonts w:hint="eastAsia" w:ascii="方正仿宋_GBK" w:hAnsi="方正仿宋_GBK" w:eastAsia="方正仿宋_GBK" w:cs="方正仿宋_GBK"/>
                <w:i w:val="0"/>
                <w:iCs w:val="0"/>
                <w:color w:val="000000"/>
                <w:kern w:val="0"/>
                <w:sz w:val="30"/>
                <w:szCs w:val="30"/>
                <w:highlight w:val="none"/>
                <w:u w:val="none"/>
                <w:lang w:val="en-US" w:eastAsia="zh-CN"/>
              </w:rPr>
              <w:t>、规章、标准和专业知识培训、考核。</w:t>
            </w:r>
          </w:p>
        </w:tc>
        <w:tc>
          <w:tcPr>
            <w:tcW w:w="1781" w:type="pct"/>
            <w:tcBorders>
              <w:top w:val="single" w:color="auto" w:sz="4" w:space="0"/>
              <w:left w:val="single" w:color="000000" w:sz="4" w:space="0"/>
              <w:bottom w:val="single" w:color="000000" w:sz="4" w:space="0"/>
            </w:tcBorders>
            <w:noWrap w:val="0"/>
            <w:vAlign w:val="center"/>
          </w:tcPr>
          <w:p w14:paraId="38E03E2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《集中用餐单位落实食品安全主体责任监督管理规定》（市场监管总局令第98号）</w:t>
            </w:r>
          </w:p>
        </w:tc>
      </w:tr>
      <w:tr w14:paraId="021527D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003" w:hRule="atLeast"/>
          <w:jc w:val="center"/>
        </w:trPr>
        <w:tc>
          <w:tcPr>
            <w:tcW w:w="263" w:type="pct"/>
            <w:tcBorders>
              <w:top w:val="single" w:color="000000" w:sz="4" w:space="0"/>
              <w:bottom w:val="single" w:color="000000" w:sz="4" w:space="0"/>
              <w:right w:val="single" w:color="000000" w:sz="4" w:space="0"/>
            </w:tcBorders>
            <w:noWrap w:val="0"/>
            <w:vAlign w:val="center"/>
          </w:tcPr>
          <w:p w14:paraId="6BFCFEC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3</w:t>
            </w:r>
          </w:p>
        </w:tc>
        <w:tc>
          <w:tcPr>
            <w:tcW w:w="617" w:type="pct"/>
            <w:vMerge w:val="continue"/>
            <w:tcBorders>
              <w:left w:val="single" w:color="000000" w:sz="4" w:space="0"/>
              <w:right w:val="single" w:color="000000" w:sz="4" w:space="0"/>
            </w:tcBorders>
            <w:noWrap w:val="0"/>
            <w:vAlign w:val="center"/>
          </w:tcPr>
          <w:p w14:paraId="4FB2AF5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13656F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养老机构食堂、承包经营企业、供餐单位是否落实自查要求，制定并有效执行《食品安全风险管控清单》，建立健全日管控、周排查、月调度工作制度和机制，对应形成《每日食品安全检查记录</w:t>
            </w:r>
            <w:r>
              <w:rPr>
                <w:rFonts w:hint="eastAsia" w:ascii="方正仿宋_GBK" w:hAnsi="方正仿宋_GBK" w:eastAsia="方正仿宋_GBK" w:cs="方正仿宋_GBK"/>
                <w:i w:val="0"/>
                <w:iCs w:val="0"/>
                <w:color w:val="000000"/>
                <w:kern w:val="0"/>
                <w:sz w:val="30"/>
                <w:szCs w:val="30"/>
                <w:highlight w:val="none"/>
                <w:u w:val="none"/>
                <w:shd w:val="clear" w:color="auto" w:fill="FFFFFF"/>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每周食品安全排查治理报告</w:t>
            </w:r>
            <w:r>
              <w:rPr>
                <w:rFonts w:hint="eastAsia" w:ascii="方正仿宋_GBK" w:hAnsi="方正仿宋_GBK" w:eastAsia="方正仿宋_GBK" w:cs="方正仿宋_GBK"/>
                <w:i w:val="0"/>
                <w:iCs w:val="0"/>
                <w:color w:val="000000"/>
                <w:kern w:val="0"/>
                <w:sz w:val="30"/>
                <w:szCs w:val="30"/>
                <w:highlight w:val="none"/>
                <w:u w:val="none"/>
                <w:shd w:val="clear" w:color="auto" w:fill="FFFFFF"/>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每月食品安全调度会议纪要》并存档备查。</w:t>
            </w:r>
          </w:p>
        </w:tc>
        <w:tc>
          <w:tcPr>
            <w:tcW w:w="1781" w:type="pct"/>
            <w:tcBorders>
              <w:top w:val="single" w:color="auto" w:sz="4" w:space="0"/>
              <w:left w:val="single" w:color="000000" w:sz="4" w:space="0"/>
              <w:bottom w:val="single" w:color="000000" w:sz="4" w:space="0"/>
            </w:tcBorders>
            <w:noWrap w:val="0"/>
            <w:vAlign w:val="center"/>
          </w:tcPr>
          <w:p w14:paraId="711E6F7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《集中用餐单位落实食品安全主体责任监督管理规定》（市场监管总局令第98号）</w:t>
            </w:r>
          </w:p>
        </w:tc>
      </w:tr>
      <w:tr w14:paraId="014FBCB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624" w:hRule="atLeast"/>
          <w:jc w:val="center"/>
        </w:trPr>
        <w:tc>
          <w:tcPr>
            <w:tcW w:w="263" w:type="pct"/>
            <w:tcBorders>
              <w:top w:val="single" w:color="000000" w:sz="4" w:space="0"/>
              <w:bottom w:val="single" w:color="000000" w:sz="4" w:space="0"/>
              <w:right w:val="single" w:color="000000" w:sz="4" w:space="0"/>
            </w:tcBorders>
            <w:noWrap w:val="0"/>
            <w:vAlign w:val="center"/>
          </w:tcPr>
          <w:p w14:paraId="0DA94EC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4</w:t>
            </w:r>
          </w:p>
        </w:tc>
        <w:tc>
          <w:tcPr>
            <w:tcW w:w="617" w:type="pct"/>
            <w:vMerge w:val="restart"/>
            <w:tcBorders>
              <w:left w:val="single" w:color="000000" w:sz="4" w:space="0"/>
              <w:right w:val="single" w:color="000000" w:sz="4" w:space="0"/>
            </w:tcBorders>
            <w:noWrap w:val="0"/>
            <w:vAlign w:val="center"/>
          </w:tcPr>
          <w:p w14:paraId="3F3F5C1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kern w:val="0"/>
                <w:sz w:val="30"/>
                <w:szCs w:val="30"/>
                <w:highlight w:val="none"/>
                <w:u w:val="none"/>
                <w:lang w:val="en-US" w:eastAsia="zh-CN"/>
              </w:rPr>
            </w:pPr>
            <w:r>
              <w:rPr>
                <w:rFonts w:hint="eastAsia" w:ascii="方正楷体_GBK" w:hAnsi="方正楷体_GBK" w:eastAsia="方正楷体_GBK" w:cs="方正楷体_GBK"/>
                <w:i w:val="0"/>
                <w:iCs w:val="0"/>
                <w:color w:val="000000"/>
                <w:kern w:val="0"/>
                <w:sz w:val="30"/>
                <w:szCs w:val="30"/>
                <w:highlight w:val="none"/>
                <w:u w:val="none"/>
                <w:lang w:val="en-US" w:eastAsia="zh-CN"/>
              </w:rPr>
              <w:t>从业人员</w:t>
            </w:r>
          </w:p>
          <w:p w14:paraId="4384149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管理情况</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275D1E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是否落实从业人员每日健康状况检查（晨检）制度；从业人员是否每年进行健康检查，持有合法有效的健康证明后上岗工作，并对健康证明进行公示。是否组织开展从业人员培训考核，并做好培训记录。</w:t>
            </w:r>
          </w:p>
        </w:tc>
        <w:tc>
          <w:tcPr>
            <w:tcW w:w="1781" w:type="pct"/>
            <w:tcBorders>
              <w:top w:val="single" w:color="auto" w:sz="4" w:space="0"/>
              <w:left w:val="single" w:color="000000" w:sz="4" w:space="0"/>
              <w:bottom w:val="single" w:color="000000" w:sz="4" w:space="0"/>
            </w:tcBorders>
            <w:noWrap w:val="0"/>
            <w:vAlign w:val="center"/>
          </w:tcPr>
          <w:p w14:paraId="170FE44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30052BF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7FE82EB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63" w:hRule="atLeast"/>
          <w:jc w:val="center"/>
        </w:trPr>
        <w:tc>
          <w:tcPr>
            <w:tcW w:w="263" w:type="pct"/>
            <w:tcBorders>
              <w:top w:val="single" w:color="000000" w:sz="4" w:space="0"/>
              <w:bottom w:val="single" w:color="000000" w:sz="4" w:space="0"/>
              <w:right w:val="single" w:color="000000" w:sz="4" w:space="0"/>
            </w:tcBorders>
            <w:noWrap w:val="0"/>
            <w:vAlign w:val="center"/>
          </w:tcPr>
          <w:p w14:paraId="1082500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5</w:t>
            </w:r>
          </w:p>
        </w:tc>
        <w:tc>
          <w:tcPr>
            <w:tcW w:w="617" w:type="pct"/>
            <w:vMerge w:val="continue"/>
            <w:tcBorders>
              <w:left w:val="single" w:color="000000" w:sz="4" w:space="0"/>
              <w:right w:val="single" w:color="000000" w:sz="4" w:space="0"/>
            </w:tcBorders>
            <w:noWrap w:val="0"/>
            <w:vAlign w:val="center"/>
          </w:tcPr>
          <w:p w14:paraId="6255A3F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53EE84ED">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w w:val="100"/>
                <w:kern w:val="0"/>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w w:val="100"/>
                <w:kern w:val="0"/>
                <w:sz w:val="30"/>
                <w:szCs w:val="30"/>
                <w:highlight w:val="none"/>
                <w:u w:val="none"/>
                <w:lang w:val="en-US" w:eastAsia="zh-CN"/>
              </w:rPr>
              <w:t>★</w:t>
            </w:r>
            <w:r>
              <w:rPr>
                <w:rFonts w:hint="eastAsia" w:ascii="方正仿宋_GBK" w:hAnsi="方正仿宋_GBK" w:eastAsia="方正仿宋_GBK" w:cs="方正仿宋_GBK"/>
                <w:i w:val="0"/>
                <w:iCs w:val="0"/>
                <w:color w:val="000000"/>
                <w:w w:val="100"/>
                <w:kern w:val="0"/>
                <w:sz w:val="30"/>
                <w:szCs w:val="30"/>
                <w:highlight w:val="none"/>
                <w:u w:val="none"/>
                <w:lang w:val="en-US" w:eastAsia="zh-CN"/>
              </w:rPr>
              <w:t>是否严格落实从业人员卫生要求，进入食品处理区穿戴清洁工作衣帽，洗净手部，不留长指甲、涂指甲油、化妆、佩戴外露饰物等；专间和专用操作区内的从业人员操作时是否佩戴清洁的口罩，能遮住口鼻，清洗消毒手部。</w:t>
            </w:r>
          </w:p>
        </w:tc>
        <w:tc>
          <w:tcPr>
            <w:tcW w:w="1781" w:type="pct"/>
            <w:tcBorders>
              <w:top w:val="single" w:color="auto" w:sz="4" w:space="0"/>
              <w:left w:val="single" w:color="000000" w:sz="4" w:space="0"/>
              <w:bottom w:val="single" w:color="000000" w:sz="4" w:space="0"/>
            </w:tcBorders>
            <w:noWrap w:val="0"/>
            <w:vAlign w:val="center"/>
          </w:tcPr>
          <w:p w14:paraId="4D0DFD92">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3020245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947" w:hRule="atLeast"/>
          <w:jc w:val="center"/>
        </w:trPr>
        <w:tc>
          <w:tcPr>
            <w:tcW w:w="263" w:type="pct"/>
            <w:tcBorders>
              <w:top w:val="single" w:color="000000" w:sz="4" w:space="0"/>
              <w:bottom w:val="single" w:color="000000" w:sz="4" w:space="0"/>
              <w:right w:val="single" w:color="000000" w:sz="4" w:space="0"/>
            </w:tcBorders>
            <w:noWrap w:val="0"/>
            <w:vAlign w:val="center"/>
          </w:tcPr>
          <w:p w14:paraId="17B2460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6</w:t>
            </w:r>
          </w:p>
        </w:tc>
        <w:tc>
          <w:tcPr>
            <w:tcW w:w="617" w:type="pct"/>
            <w:vMerge w:val="restart"/>
            <w:tcBorders>
              <w:left w:val="single" w:color="000000" w:sz="4" w:space="0"/>
              <w:right w:val="single" w:color="000000" w:sz="4" w:space="0"/>
            </w:tcBorders>
            <w:noWrap w:val="0"/>
            <w:vAlign w:val="center"/>
          </w:tcPr>
          <w:p w14:paraId="2B45B32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kern w:val="0"/>
                <w:sz w:val="30"/>
                <w:szCs w:val="30"/>
                <w:highlight w:val="none"/>
                <w:u w:val="none"/>
                <w:lang w:val="en-US" w:eastAsia="zh-CN"/>
              </w:rPr>
            </w:pPr>
            <w:r>
              <w:rPr>
                <w:rFonts w:hint="eastAsia" w:ascii="方正楷体_GBK" w:hAnsi="方正楷体_GBK" w:eastAsia="方正楷体_GBK" w:cs="方正楷体_GBK"/>
                <w:i w:val="0"/>
                <w:iCs w:val="0"/>
                <w:color w:val="000000"/>
                <w:kern w:val="0"/>
                <w:sz w:val="30"/>
                <w:szCs w:val="30"/>
                <w:highlight w:val="none"/>
                <w:u w:val="none"/>
                <w:lang w:val="en-US" w:eastAsia="zh-CN"/>
              </w:rPr>
              <w:t>食品原料</w:t>
            </w:r>
          </w:p>
          <w:p w14:paraId="5433BF6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控制</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021371DA">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w w:val="1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w w:val="100"/>
                <w:kern w:val="0"/>
                <w:sz w:val="30"/>
                <w:szCs w:val="30"/>
                <w:highlight w:val="none"/>
                <w:u w:val="none"/>
                <w:lang w:val="en-US" w:eastAsia="zh-CN"/>
              </w:rPr>
              <w:t>★</w:t>
            </w:r>
            <w:r>
              <w:rPr>
                <w:rFonts w:hint="eastAsia" w:ascii="方正仿宋_GBK" w:hAnsi="方正仿宋_GBK" w:eastAsia="方正仿宋_GBK" w:cs="方正仿宋_GBK"/>
                <w:i w:val="0"/>
                <w:iCs w:val="0"/>
                <w:color w:val="000000"/>
                <w:w w:val="100"/>
                <w:kern w:val="0"/>
                <w:sz w:val="30"/>
                <w:szCs w:val="30"/>
                <w:highlight w:val="none"/>
                <w:u w:val="none"/>
                <w:lang w:val="en-US" w:eastAsia="zh-CN"/>
              </w:rPr>
              <w:t>是否严格执行食品、食品添加剂、食品相关产品进货查验记录制度，是否按规定查验并留存供货者的许可资质证明复印件、产品合格证明文件，确保货票相符；是否现场检查食品原料感官性状无异常、包装和标签标识等符合要求。</w:t>
            </w:r>
          </w:p>
        </w:tc>
        <w:tc>
          <w:tcPr>
            <w:tcW w:w="1781" w:type="pct"/>
            <w:tcBorders>
              <w:top w:val="single" w:color="auto" w:sz="4" w:space="0"/>
              <w:left w:val="single" w:color="000000" w:sz="4" w:space="0"/>
              <w:bottom w:val="single" w:color="000000" w:sz="4" w:space="0"/>
            </w:tcBorders>
            <w:noWrap w:val="0"/>
            <w:vAlign w:val="center"/>
          </w:tcPr>
          <w:p w14:paraId="403E18A4">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120DF4CB">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12328B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67" w:hRule="atLeast"/>
          <w:jc w:val="center"/>
        </w:trPr>
        <w:tc>
          <w:tcPr>
            <w:tcW w:w="263" w:type="pct"/>
            <w:tcBorders>
              <w:top w:val="single" w:color="000000" w:sz="4" w:space="0"/>
              <w:bottom w:val="single" w:color="000000" w:sz="4" w:space="0"/>
              <w:right w:val="single" w:color="000000" w:sz="4" w:space="0"/>
            </w:tcBorders>
            <w:noWrap w:val="0"/>
            <w:vAlign w:val="center"/>
          </w:tcPr>
          <w:p w14:paraId="69CFC66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7</w:t>
            </w:r>
          </w:p>
        </w:tc>
        <w:tc>
          <w:tcPr>
            <w:tcW w:w="617" w:type="pct"/>
            <w:vMerge w:val="continue"/>
            <w:tcBorders>
              <w:left w:val="single" w:color="000000" w:sz="4" w:space="0"/>
              <w:right w:val="single" w:color="000000" w:sz="4" w:space="0"/>
            </w:tcBorders>
            <w:noWrap w:val="0"/>
            <w:vAlign w:val="center"/>
          </w:tcPr>
          <w:p w14:paraId="2852763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52F32ED4">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w w:val="1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w w:val="100"/>
                <w:kern w:val="0"/>
                <w:sz w:val="30"/>
                <w:szCs w:val="30"/>
                <w:highlight w:val="none"/>
                <w:u w:val="none"/>
                <w:lang w:val="en-US" w:eastAsia="zh-CN"/>
              </w:rPr>
              <w:t>★</w:t>
            </w:r>
            <w:r>
              <w:rPr>
                <w:rFonts w:hint="eastAsia" w:ascii="方正仿宋_GBK" w:hAnsi="方正仿宋_GBK" w:eastAsia="方正仿宋_GBK" w:cs="方正仿宋_GBK"/>
                <w:i w:val="0"/>
                <w:iCs w:val="0"/>
                <w:color w:val="000000"/>
                <w:w w:val="100"/>
                <w:kern w:val="0"/>
                <w:sz w:val="30"/>
                <w:szCs w:val="30"/>
                <w:highlight w:val="none"/>
                <w:u w:val="none"/>
                <w:lang w:val="en-US" w:eastAsia="zh-CN"/>
              </w:rPr>
              <w:t>食品原料、半成品、成品以及非食品是否混放；贮存过程中是否离地、离墙，符合食品安全所需的温度、湿度等要求；冷冻（藏）设施设备是否有可正确显示内部温度的测温装置；冷冻（藏）温度是否符合食品安全要求；需冷冻（藏）的食品是否按要求及时冷冻（藏）；散装食品（食用农产品除外）贮存位置是否标明名称、生产日期或批号、使用时限等信息；食品贮存区是否存放有毒有害物质和感官性状异常、超过保质期、来源不明的食品及原料；食品添加剂是</w:t>
            </w:r>
            <w:r>
              <w:rPr>
                <w:rFonts w:hint="eastAsia" w:ascii="方正仿宋_GBK" w:hAnsi="方正仿宋_GBK" w:eastAsia="方正仿宋_GBK" w:cs="方正仿宋_GBK"/>
                <w:i w:val="0"/>
                <w:iCs w:val="0"/>
                <w:color w:val="000000"/>
                <w:w w:val="100"/>
                <w:kern w:val="0"/>
                <w:sz w:val="30"/>
                <w:szCs w:val="30"/>
                <w:highlight w:val="none"/>
                <w:u w:val="none"/>
                <w:shd w:val="clear" w:color="auto" w:fill="FFFFFF"/>
                <w:lang w:val="en-US" w:eastAsia="zh-CN"/>
              </w:rPr>
              <w:t>否</w:t>
            </w:r>
            <w:r>
              <w:rPr>
                <w:rFonts w:hint="eastAsia" w:ascii="方正仿宋_GBK" w:hAnsi="方正仿宋_GBK" w:eastAsia="方正仿宋_GBK" w:cs="方正仿宋_GBK"/>
                <w:i w:val="0"/>
                <w:iCs w:val="0"/>
                <w:color w:val="000000"/>
                <w:w w:val="100"/>
                <w:kern w:val="0"/>
                <w:sz w:val="30"/>
                <w:szCs w:val="30"/>
                <w:highlight w:val="none"/>
                <w:u w:val="none"/>
                <w:lang w:val="en-US" w:eastAsia="zh-CN"/>
              </w:rPr>
              <w:t>专柜（位）贮存并标注“食品添加剂”字样。</w:t>
            </w:r>
          </w:p>
        </w:tc>
        <w:tc>
          <w:tcPr>
            <w:tcW w:w="1781" w:type="pct"/>
            <w:tcBorders>
              <w:top w:val="single" w:color="auto" w:sz="4" w:space="0"/>
              <w:left w:val="single" w:color="000000" w:sz="4" w:space="0"/>
              <w:bottom w:val="single" w:color="000000" w:sz="4" w:space="0"/>
            </w:tcBorders>
            <w:noWrap w:val="0"/>
            <w:vAlign w:val="center"/>
          </w:tcPr>
          <w:p w14:paraId="58975CB2">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7E68FCAC">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《中华人民共和国食品安全法实施条例》（国务院令第721号）</w:t>
            </w:r>
          </w:p>
          <w:p w14:paraId="613DE10B">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3931BEE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643" w:hRule="atLeast"/>
          <w:jc w:val="center"/>
        </w:trPr>
        <w:tc>
          <w:tcPr>
            <w:tcW w:w="263" w:type="pct"/>
            <w:tcBorders>
              <w:top w:val="single" w:color="000000" w:sz="4" w:space="0"/>
              <w:bottom w:val="single" w:color="000000" w:sz="4" w:space="0"/>
              <w:right w:val="single" w:color="000000" w:sz="4" w:space="0"/>
            </w:tcBorders>
            <w:noWrap w:val="0"/>
            <w:vAlign w:val="center"/>
          </w:tcPr>
          <w:p w14:paraId="3E0D4C8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8</w:t>
            </w:r>
          </w:p>
        </w:tc>
        <w:tc>
          <w:tcPr>
            <w:tcW w:w="617" w:type="pct"/>
            <w:vMerge w:val="restart"/>
            <w:tcBorders>
              <w:left w:val="single" w:color="000000" w:sz="4" w:space="0"/>
              <w:right w:val="single" w:color="000000" w:sz="4" w:space="0"/>
            </w:tcBorders>
            <w:noWrap w:val="0"/>
            <w:vAlign w:val="center"/>
          </w:tcPr>
          <w:p w14:paraId="2BA3CC2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kern w:val="0"/>
                <w:sz w:val="30"/>
                <w:szCs w:val="30"/>
                <w:highlight w:val="none"/>
                <w:u w:val="none"/>
                <w:lang w:val="en-US" w:eastAsia="zh-CN"/>
              </w:rPr>
            </w:pPr>
            <w:r>
              <w:rPr>
                <w:rFonts w:hint="eastAsia" w:ascii="方正楷体_GBK" w:hAnsi="方正楷体_GBK" w:eastAsia="方正楷体_GBK" w:cs="方正楷体_GBK"/>
                <w:i w:val="0"/>
                <w:iCs w:val="0"/>
                <w:color w:val="000000"/>
                <w:kern w:val="0"/>
                <w:sz w:val="30"/>
                <w:szCs w:val="30"/>
                <w:highlight w:val="none"/>
                <w:u w:val="none"/>
                <w:lang w:val="en-US" w:eastAsia="zh-CN"/>
              </w:rPr>
              <w:t>加工制作</w:t>
            </w:r>
          </w:p>
          <w:p w14:paraId="3497A38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过程控制</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8A2E0B2">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具有与其加工制作的食品品种、数量相适应的加工场所及设施设备等；食品原料、半成品、成品及其盛放容器和各类清洗水池、加工制作工具是否区分标识明显、分开放置和使用；防止食品交叉污染的措施是否有效。专间及专用操作区内的标识、人员卫生及操作是否符合要求，使用的食品容器、工具、设备和清洁工具是否保持清洁并专用。</w:t>
            </w:r>
          </w:p>
        </w:tc>
        <w:tc>
          <w:tcPr>
            <w:tcW w:w="1781" w:type="pct"/>
            <w:tcBorders>
              <w:top w:val="single" w:color="auto" w:sz="4" w:space="0"/>
              <w:left w:val="single" w:color="000000" w:sz="4" w:space="0"/>
              <w:bottom w:val="single" w:color="000000" w:sz="4" w:space="0"/>
            </w:tcBorders>
            <w:noWrap w:val="0"/>
            <w:vAlign w:val="center"/>
          </w:tcPr>
          <w:p w14:paraId="3D5F65CF">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《食品经营许可审查通则》（市场监管总局公告2024年第12号）</w:t>
            </w:r>
          </w:p>
          <w:p w14:paraId="3C3FBC10">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581B63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24" w:hRule="atLeast"/>
          <w:jc w:val="center"/>
        </w:trPr>
        <w:tc>
          <w:tcPr>
            <w:tcW w:w="263" w:type="pct"/>
            <w:tcBorders>
              <w:top w:val="single" w:color="000000" w:sz="4" w:space="0"/>
              <w:bottom w:val="single" w:color="000000" w:sz="4" w:space="0"/>
              <w:right w:val="single" w:color="000000" w:sz="4" w:space="0"/>
            </w:tcBorders>
            <w:noWrap w:val="0"/>
            <w:vAlign w:val="center"/>
          </w:tcPr>
          <w:p w14:paraId="7F1D86A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9</w:t>
            </w:r>
          </w:p>
        </w:tc>
        <w:tc>
          <w:tcPr>
            <w:tcW w:w="617" w:type="pct"/>
            <w:vMerge w:val="continue"/>
            <w:tcBorders>
              <w:left w:val="single" w:color="000000" w:sz="4" w:space="0"/>
              <w:right w:val="single" w:color="000000" w:sz="4" w:space="0"/>
            </w:tcBorders>
            <w:noWrap w:val="0"/>
            <w:vAlign w:val="center"/>
          </w:tcPr>
          <w:p w14:paraId="66FFF747">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28230E7">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是否严格控制食品加工制作温度、时间等关键参数，确保食品烧熟煮透。是否按要求进行食品留样。</w:t>
            </w:r>
          </w:p>
        </w:tc>
        <w:tc>
          <w:tcPr>
            <w:tcW w:w="1781" w:type="pct"/>
            <w:tcBorders>
              <w:top w:val="single" w:color="auto" w:sz="4" w:space="0"/>
              <w:left w:val="single" w:color="000000" w:sz="4" w:space="0"/>
              <w:bottom w:val="single" w:color="000000" w:sz="4" w:space="0"/>
            </w:tcBorders>
            <w:noWrap w:val="0"/>
            <w:vAlign w:val="center"/>
          </w:tcPr>
          <w:p w14:paraId="353A6587">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《中华人民共和国食品安全法实施条例》（国务院令第721号）</w:t>
            </w:r>
          </w:p>
          <w:p w14:paraId="68107233">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5AB483B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167" w:hRule="atLeast"/>
          <w:jc w:val="center"/>
        </w:trPr>
        <w:tc>
          <w:tcPr>
            <w:tcW w:w="263" w:type="pct"/>
            <w:tcBorders>
              <w:top w:val="single" w:color="000000" w:sz="4" w:space="0"/>
              <w:bottom w:val="single" w:color="000000" w:sz="4" w:space="0"/>
              <w:right w:val="single" w:color="000000" w:sz="4" w:space="0"/>
            </w:tcBorders>
            <w:noWrap w:val="0"/>
            <w:vAlign w:val="center"/>
          </w:tcPr>
          <w:p w14:paraId="7ECCA22F">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10</w:t>
            </w:r>
          </w:p>
        </w:tc>
        <w:tc>
          <w:tcPr>
            <w:tcW w:w="617" w:type="pct"/>
            <w:vMerge w:val="continue"/>
            <w:tcBorders>
              <w:left w:val="single" w:color="000000" w:sz="4" w:space="0"/>
              <w:right w:val="single" w:color="000000" w:sz="4" w:space="0"/>
            </w:tcBorders>
            <w:noWrap w:val="0"/>
            <w:vAlign w:val="center"/>
          </w:tcPr>
          <w:p w14:paraId="5520326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4A6AC79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是否在加工环节违法使用有毒有害物质和非食品原料；是否采购、贮存、使用亚硝酸盐等国家禁止在餐饮业使用的食品添加剂品种；是否按规定使用食品添加剂，并记录食品添加剂使用情况。</w:t>
            </w:r>
          </w:p>
        </w:tc>
        <w:tc>
          <w:tcPr>
            <w:tcW w:w="1781" w:type="pct"/>
            <w:tcBorders>
              <w:top w:val="single" w:color="auto" w:sz="4" w:space="0"/>
              <w:left w:val="single" w:color="000000" w:sz="4" w:space="0"/>
              <w:bottom w:val="single" w:color="000000" w:sz="4" w:space="0"/>
            </w:tcBorders>
            <w:noWrap w:val="0"/>
            <w:vAlign w:val="center"/>
          </w:tcPr>
          <w:p w14:paraId="5936029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0EFF742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6F4C52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847" w:hRule="atLeast"/>
          <w:jc w:val="center"/>
        </w:trPr>
        <w:tc>
          <w:tcPr>
            <w:tcW w:w="263" w:type="pct"/>
            <w:tcBorders>
              <w:top w:val="single" w:color="000000" w:sz="4" w:space="0"/>
              <w:bottom w:val="single" w:color="000000" w:sz="4" w:space="0"/>
              <w:right w:val="single" w:color="000000" w:sz="4" w:space="0"/>
            </w:tcBorders>
            <w:noWrap w:val="0"/>
            <w:vAlign w:val="center"/>
          </w:tcPr>
          <w:p w14:paraId="7495D54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11</w:t>
            </w:r>
          </w:p>
        </w:tc>
        <w:tc>
          <w:tcPr>
            <w:tcW w:w="617" w:type="pct"/>
            <w:vMerge w:val="continue"/>
            <w:tcBorders>
              <w:left w:val="single" w:color="000000" w:sz="4" w:space="0"/>
              <w:right w:val="single" w:color="000000" w:sz="4" w:space="0"/>
            </w:tcBorders>
            <w:noWrap w:val="0"/>
            <w:vAlign w:val="center"/>
          </w:tcPr>
          <w:p w14:paraId="40898BD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B56A6A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供餐单位供餐的，供餐单位是否具备符合贮存、运输要求的设施设备；食品的传送电梯、配送车辆、存放食品的车厢或配送箱（包）、与食品直接接触的配送容器及配送过程是否符合要求；配送过程中，食品的盛放容器是否密闭，食品容器上标注信息是否符合要求。</w:t>
            </w:r>
          </w:p>
        </w:tc>
        <w:tc>
          <w:tcPr>
            <w:tcW w:w="1781" w:type="pct"/>
            <w:tcBorders>
              <w:top w:val="single" w:color="auto" w:sz="4" w:space="0"/>
              <w:left w:val="single" w:color="000000" w:sz="4" w:space="0"/>
              <w:bottom w:val="single" w:color="000000" w:sz="4" w:space="0"/>
            </w:tcBorders>
            <w:noWrap w:val="0"/>
            <w:vAlign w:val="center"/>
          </w:tcPr>
          <w:p w14:paraId="4E592C8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《中华人民共和国食品安全法实施条例》（国务院令第721号）</w:t>
            </w:r>
          </w:p>
          <w:p w14:paraId="393E4E9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4BA3000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406" w:hRule="atLeast"/>
          <w:jc w:val="center"/>
        </w:trPr>
        <w:tc>
          <w:tcPr>
            <w:tcW w:w="263" w:type="pct"/>
            <w:tcBorders>
              <w:top w:val="single" w:color="000000" w:sz="4" w:space="0"/>
              <w:bottom w:val="single" w:color="000000" w:sz="4" w:space="0"/>
              <w:right w:val="single" w:color="000000" w:sz="4" w:space="0"/>
            </w:tcBorders>
            <w:noWrap w:val="0"/>
            <w:vAlign w:val="center"/>
          </w:tcPr>
          <w:p w14:paraId="63C6DB3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12</w:t>
            </w:r>
          </w:p>
        </w:tc>
        <w:tc>
          <w:tcPr>
            <w:tcW w:w="617" w:type="pct"/>
            <w:vMerge w:val="restart"/>
            <w:tcBorders>
              <w:left w:val="single" w:color="000000" w:sz="4" w:space="0"/>
              <w:right w:val="single" w:color="000000" w:sz="4" w:space="0"/>
            </w:tcBorders>
            <w:noWrap w:val="0"/>
            <w:vAlign w:val="center"/>
          </w:tcPr>
          <w:p w14:paraId="11DAA01D">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场所环境</w:t>
            </w:r>
          </w:p>
          <w:p w14:paraId="77BB570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卫生情况</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6BC5806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场所和设施设备是否布局合理、能正常使用；是否保持场所建筑结构完好、环境整洁、防止病媒生物侵入及滋生；墙壁、天花板、门窗、地面、排水沟、操作台、食品加工用具等是否破损、积油、积水，有霉斑、污垢等。</w:t>
            </w:r>
          </w:p>
        </w:tc>
        <w:tc>
          <w:tcPr>
            <w:tcW w:w="1781" w:type="pct"/>
            <w:tcBorders>
              <w:top w:val="single" w:color="auto" w:sz="4" w:space="0"/>
              <w:left w:val="single" w:color="000000" w:sz="4" w:space="0"/>
              <w:bottom w:val="single" w:color="000000" w:sz="4" w:space="0"/>
            </w:tcBorders>
            <w:noWrap w:val="0"/>
            <w:vAlign w:val="center"/>
          </w:tcPr>
          <w:p w14:paraId="4BCF839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6934809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56" w:hRule="atLeast"/>
          <w:jc w:val="center"/>
        </w:trPr>
        <w:tc>
          <w:tcPr>
            <w:tcW w:w="263" w:type="pct"/>
            <w:tcBorders>
              <w:top w:val="single" w:color="000000" w:sz="4" w:space="0"/>
              <w:bottom w:val="single" w:color="000000" w:sz="4" w:space="0"/>
              <w:right w:val="single" w:color="000000" w:sz="4" w:space="0"/>
            </w:tcBorders>
            <w:noWrap w:val="0"/>
            <w:vAlign w:val="center"/>
          </w:tcPr>
          <w:p w14:paraId="35BC641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13</w:t>
            </w:r>
          </w:p>
        </w:tc>
        <w:tc>
          <w:tcPr>
            <w:tcW w:w="617" w:type="pct"/>
            <w:vMerge w:val="continue"/>
            <w:tcBorders>
              <w:left w:val="single" w:color="000000" w:sz="4" w:space="0"/>
              <w:right w:val="single" w:color="000000" w:sz="4" w:space="0"/>
            </w:tcBorders>
            <w:noWrap w:val="0"/>
            <w:vAlign w:val="center"/>
          </w:tcPr>
          <w:p w14:paraId="5BDB5C6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76F938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配齐配全防尘，防蝇、防鼠、防虫等病媒生物防制设施设备；是否定期开展鼠（虫）害等病媒生物消杀，并做好记录；是否存在明显的病媒生物活动迹象；是否设置专用的废弃物存放设施，并加盖、设置明显的区分标识，及时清除不溢出。</w:t>
            </w:r>
          </w:p>
        </w:tc>
        <w:tc>
          <w:tcPr>
            <w:tcW w:w="1781" w:type="pct"/>
            <w:tcBorders>
              <w:top w:val="single" w:color="auto" w:sz="4" w:space="0"/>
              <w:left w:val="single" w:color="000000" w:sz="4" w:space="0"/>
              <w:bottom w:val="single" w:color="000000" w:sz="4" w:space="0"/>
            </w:tcBorders>
            <w:noWrap w:val="0"/>
            <w:vAlign w:val="center"/>
          </w:tcPr>
          <w:p w14:paraId="4207F92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45B5EF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652F83C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sz w:val="30"/>
                <w:szCs w:val="30"/>
                <w:highlight w:val="none"/>
                <w:u w:val="none"/>
                <w:lang w:val="en-US" w:eastAsia="zh-CN"/>
              </w:rPr>
              <w:t>14</w:t>
            </w:r>
          </w:p>
        </w:tc>
        <w:tc>
          <w:tcPr>
            <w:tcW w:w="617" w:type="pct"/>
            <w:tcBorders>
              <w:left w:val="single" w:color="000000" w:sz="4" w:space="0"/>
              <w:right w:val="single" w:color="000000" w:sz="4" w:space="0"/>
            </w:tcBorders>
            <w:noWrap w:val="0"/>
            <w:vAlign w:val="center"/>
          </w:tcPr>
          <w:p w14:paraId="52136AE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sz w:val="30"/>
                <w:szCs w:val="30"/>
                <w:highlight w:val="none"/>
                <w:u w:val="none"/>
                <w:lang w:eastAsia="zh-CN"/>
              </w:rPr>
              <w:t>餐饮具清洗消毒情况</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1693BF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设置独立的洗消间或隔断场所，并配备专用清洗消毒水池、保洁设施，标有明显标识；使用的洗涤剂、消毒剂等食品相关产品是否符合相关国家标准；采用物理消毒的，消毒设施是否运转正常且满足需要；采用化学消毒的，消毒液使用、配制等符合要求；保洁设施是否符合相关要求，存放的餐饮具是否清洁。使用统一消毒或配送餐饮具服务的，是否查验其消毒资质，每批次索取并留存消毒合格证明。</w:t>
            </w:r>
          </w:p>
        </w:tc>
        <w:tc>
          <w:tcPr>
            <w:tcW w:w="1781" w:type="pct"/>
            <w:tcBorders>
              <w:top w:val="single" w:color="auto" w:sz="4" w:space="0"/>
              <w:left w:val="single" w:color="000000" w:sz="4" w:space="0"/>
              <w:bottom w:val="single" w:color="000000" w:sz="4" w:space="0"/>
            </w:tcBorders>
            <w:noWrap w:val="0"/>
            <w:vAlign w:val="center"/>
          </w:tcPr>
          <w:p w14:paraId="77F6234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w:t>
            </w:r>
          </w:p>
          <w:p w14:paraId="52B3B05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《中华人民共和国食品安全法实施条例》（国务院令第721号）</w:t>
            </w:r>
          </w:p>
          <w:p w14:paraId="715AA72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《食品安全国家标准 餐饮服务通用卫生规范》（GB31654-2021）</w:t>
            </w:r>
          </w:p>
        </w:tc>
      </w:tr>
      <w:tr w14:paraId="4BAE6EA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gridSpan w:val="4"/>
            <w:tcBorders>
              <w:top w:val="single" w:color="000000" w:sz="4" w:space="0"/>
              <w:bottom w:val="single" w:color="000000" w:sz="4" w:space="0"/>
            </w:tcBorders>
            <w:noWrap w:val="0"/>
            <w:vAlign w:val="center"/>
          </w:tcPr>
          <w:p w14:paraId="6CB37AEF">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防汛安全</w:t>
            </w:r>
          </w:p>
        </w:tc>
      </w:tr>
      <w:tr w14:paraId="387E97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263" w:type="pct"/>
            <w:tcBorders>
              <w:top w:val="single" w:color="000000" w:sz="4" w:space="0"/>
              <w:bottom w:val="single" w:color="000000" w:sz="4" w:space="0"/>
              <w:right w:val="single" w:color="000000" w:sz="4" w:space="0"/>
            </w:tcBorders>
            <w:noWrap w:val="0"/>
            <w:vAlign w:val="center"/>
          </w:tcPr>
          <w:p w14:paraId="19767E3E">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序号</w:t>
            </w:r>
          </w:p>
        </w:tc>
        <w:tc>
          <w:tcPr>
            <w:tcW w:w="617" w:type="pct"/>
            <w:tcBorders>
              <w:left w:val="single" w:color="000000" w:sz="4" w:space="0"/>
              <w:right w:val="single" w:color="000000" w:sz="4" w:space="0"/>
            </w:tcBorders>
            <w:noWrap w:val="0"/>
            <w:vAlign w:val="center"/>
          </w:tcPr>
          <w:p w14:paraId="12F48532">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检查项目</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64C67AFC">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检查事项</w:t>
            </w:r>
          </w:p>
        </w:tc>
        <w:tc>
          <w:tcPr>
            <w:tcW w:w="1781" w:type="pct"/>
            <w:tcBorders>
              <w:top w:val="single" w:color="auto" w:sz="4" w:space="0"/>
              <w:left w:val="single" w:color="000000" w:sz="4" w:space="0"/>
              <w:bottom w:val="single" w:color="000000" w:sz="4" w:space="0"/>
            </w:tcBorders>
            <w:noWrap w:val="0"/>
            <w:vAlign w:val="center"/>
          </w:tcPr>
          <w:p w14:paraId="750F2392">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78C1BE3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443" w:hRule="atLeast"/>
          <w:jc w:val="center"/>
        </w:trPr>
        <w:tc>
          <w:tcPr>
            <w:tcW w:w="263" w:type="pct"/>
            <w:tcBorders>
              <w:top w:val="single" w:color="000000" w:sz="4" w:space="0"/>
              <w:bottom w:val="single" w:color="000000" w:sz="4" w:space="0"/>
              <w:right w:val="single" w:color="000000" w:sz="4" w:space="0"/>
            </w:tcBorders>
            <w:noWrap w:val="0"/>
            <w:vAlign w:val="center"/>
          </w:tcPr>
          <w:p w14:paraId="29AFC39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1</w:t>
            </w:r>
          </w:p>
        </w:tc>
        <w:tc>
          <w:tcPr>
            <w:tcW w:w="617" w:type="pct"/>
            <w:vMerge w:val="restart"/>
            <w:tcBorders>
              <w:left w:val="single" w:color="000000" w:sz="4" w:space="0"/>
              <w:right w:val="single" w:color="000000" w:sz="4" w:space="0"/>
            </w:tcBorders>
            <w:noWrap w:val="0"/>
            <w:vAlign w:val="center"/>
          </w:tcPr>
          <w:p w14:paraId="0E0CD42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sz w:val="30"/>
                <w:szCs w:val="30"/>
                <w:highlight w:val="none"/>
                <w:u w:val="none"/>
                <w:lang w:val="en-US" w:eastAsia="zh-CN"/>
              </w:rPr>
              <w:t>选址评估</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E15BDF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bidi="ar-SA"/>
              </w:rPr>
            </w:pPr>
            <w:r>
              <w:rPr>
                <w:rFonts w:hint="eastAsia" w:ascii="方正仿宋_GBK" w:hAnsi="方正仿宋_GBK" w:eastAsia="方正仿宋_GBK" w:cs="方正仿宋_GBK"/>
                <w:b w:val="0"/>
                <w:bCs w:val="0"/>
                <w:color w:val="000000"/>
                <w:kern w:val="0"/>
                <w:sz w:val="30"/>
                <w:szCs w:val="30"/>
                <w:highlight w:val="none"/>
                <w:lang w:val="en-US" w:eastAsia="zh-CN"/>
              </w:rPr>
              <w:t>是否位于蓄滞洪区内，是否依照防洪法规定办理洪水影响评价许可并按许可实施建设，是否纳入属地蓄滞洪区运用预案，是否纳入属地防汛应急预案。</w:t>
            </w:r>
          </w:p>
        </w:tc>
        <w:tc>
          <w:tcPr>
            <w:tcW w:w="1781" w:type="pct"/>
            <w:tcBorders>
              <w:top w:val="single" w:color="auto" w:sz="4" w:space="0"/>
              <w:left w:val="single" w:color="000000" w:sz="4" w:space="0"/>
              <w:bottom w:val="single" w:color="000000" w:sz="4" w:space="0"/>
            </w:tcBorders>
            <w:noWrap w:val="0"/>
            <w:vAlign w:val="center"/>
          </w:tcPr>
          <w:p w14:paraId="00EAF61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《中华人民共和国防洪法》</w:t>
            </w:r>
          </w:p>
          <w:p w14:paraId="137237F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《水利部关于加强蓄滞洪区内非防洪建设项目洪水影响评价管理的意见》（水防</w:t>
            </w:r>
            <w:r>
              <w:rPr>
                <w:rFonts w:hint="eastAsia" w:ascii="方正仿宋_GBK" w:hAnsi="方正仿宋_GBK" w:eastAsia="方正仿宋_GBK" w:cs="方正仿宋_GBK"/>
                <w:color w:val="000000"/>
                <w:kern w:val="0"/>
                <w:sz w:val="30"/>
                <w:szCs w:val="30"/>
                <w:highlight w:val="none"/>
                <w:lang w:val="en-US" w:eastAsia="zh-CN"/>
              </w:rPr>
              <w:t>〔2024〕300号</w:t>
            </w:r>
            <w:r>
              <w:rPr>
                <w:rFonts w:hint="eastAsia" w:ascii="方正仿宋_GBK" w:hAnsi="方正仿宋_GBK" w:eastAsia="方正仿宋_GBK" w:cs="方正仿宋_GBK"/>
                <w:color w:val="000000"/>
                <w:kern w:val="0"/>
                <w:sz w:val="30"/>
                <w:szCs w:val="30"/>
                <w:highlight w:val="none"/>
                <w:lang w:eastAsia="zh-CN"/>
              </w:rPr>
              <w:t>）</w:t>
            </w:r>
          </w:p>
        </w:tc>
      </w:tr>
      <w:tr w14:paraId="0A823C0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922" w:hRule="atLeast"/>
          <w:jc w:val="center"/>
        </w:trPr>
        <w:tc>
          <w:tcPr>
            <w:tcW w:w="263" w:type="pct"/>
            <w:tcBorders>
              <w:top w:val="single" w:color="000000" w:sz="4" w:space="0"/>
              <w:bottom w:val="single" w:color="000000" w:sz="4" w:space="0"/>
              <w:right w:val="single" w:color="000000" w:sz="4" w:space="0"/>
            </w:tcBorders>
            <w:noWrap w:val="0"/>
            <w:vAlign w:val="center"/>
          </w:tcPr>
          <w:p w14:paraId="33AC861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2</w:t>
            </w:r>
          </w:p>
        </w:tc>
        <w:tc>
          <w:tcPr>
            <w:tcW w:w="617" w:type="pct"/>
            <w:vMerge w:val="continue"/>
            <w:tcBorders>
              <w:left w:val="single" w:color="000000" w:sz="4" w:space="0"/>
              <w:right w:val="single" w:color="000000" w:sz="4" w:space="0"/>
            </w:tcBorders>
            <w:noWrap w:val="0"/>
            <w:vAlign w:val="center"/>
          </w:tcPr>
          <w:p w14:paraId="442E8C7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5EDBF6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bidi="ar-SA"/>
              </w:rPr>
            </w:pPr>
            <w:r>
              <w:rPr>
                <w:rFonts w:hint="eastAsia" w:ascii="方正仿宋_GBK" w:hAnsi="方正仿宋_GBK" w:eastAsia="方正仿宋_GBK" w:cs="方正仿宋_GBK"/>
                <w:b w:val="0"/>
                <w:bCs w:val="0"/>
                <w:color w:val="000000"/>
                <w:kern w:val="0"/>
                <w:sz w:val="30"/>
                <w:szCs w:val="30"/>
                <w:highlight w:val="none"/>
                <w:lang w:val="en-US" w:eastAsia="zh-CN"/>
              </w:rPr>
              <w:t>是否处于山洪灾害危险区、河流洪水威胁区、城市内涝易发区，是否纳入属地防汛应急预案。是否存在洪水冲击、淹没风险。</w:t>
            </w:r>
          </w:p>
        </w:tc>
        <w:tc>
          <w:tcPr>
            <w:tcW w:w="1781" w:type="pct"/>
            <w:tcBorders>
              <w:top w:val="single" w:color="auto" w:sz="4" w:space="0"/>
              <w:left w:val="single" w:color="000000" w:sz="4" w:space="0"/>
              <w:bottom w:val="single" w:color="000000" w:sz="4" w:space="0"/>
            </w:tcBorders>
            <w:noWrap w:val="0"/>
            <w:vAlign w:val="center"/>
          </w:tcPr>
          <w:p w14:paraId="56CF721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p w14:paraId="20F8E8C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5956A42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210D5DC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283" w:hRule="atLeast"/>
          <w:jc w:val="center"/>
        </w:trPr>
        <w:tc>
          <w:tcPr>
            <w:tcW w:w="263" w:type="pct"/>
            <w:tcBorders>
              <w:top w:val="single" w:color="000000" w:sz="4" w:space="0"/>
              <w:bottom w:val="single" w:color="000000" w:sz="4" w:space="0"/>
              <w:right w:val="single" w:color="000000" w:sz="4" w:space="0"/>
            </w:tcBorders>
            <w:noWrap w:val="0"/>
            <w:vAlign w:val="center"/>
          </w:tcPr>
          <w:p w14:paraId="687336A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3</w:t>
            </w:r>
          </w:p>
        </w:tc>
        <w:tc>
          <w:tcPr>
            <w:tcW w:w="617" w:type="pct"/>
            <w:vMerge w:val="continue"/>
            <w:tcBorders>
              <w:left w:val="single" w:color="000000" w:sz="4" w:space="0"/>
              <w:right w:val="single" w:color="000000" w:sz="4" w:space="0"/>
            </w:tcBorders>
            <w:noWrap w:val="0"/>
            <w:vAlign w:val="center"/>
          </w:tcPr>
          <w:p w14:paraId="7BF1A70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0C9FD1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Times New Roman" w:hAnsi="Times New Roman" w:eastAsia="仿宋_GB2312" w:cs="Times New Roman"/>
                <w:b w:val="0"/>
                <w:bCs w:val="0"/>
                <w:color w:val="auto"/>
                <w:spacing w:val="0"/>
                <w:kern w:val="2"/>
                <w:sz w:val="30"/>
                <w:szCs w:val="30"/>
                <w:lang w:val="en-US" w:eastAsia="zh-CN" w:bidi="ar-SA"/>
              </w:rPr>
            </w:pPr>
            <w:r>
              <w:rPr>
                <w:rFonts w:hint="eastAsia" w:ascii="方正仿宋_GBK" w:hAnsi="方正仿宋_GBK" w:eastAsia="方正仿宋_GBK" w:cs="方正仿宋_GBK"/>
                <w:b w:val="0"/>
                <w:bCs w:val="0"/>
                <w:color w:val="000000"/>
                <w:kern w:val="0"/>
                <w:sz w:val="30"/>
                <w:szCs w:val="30"/>
                <w:highlight w:val="none"/>
                <w:lang w:val="en-US" w:eastAsia="zh-CN"/>
              </w:rPr>
              <w:t>是否处于地质灾害易发区，</w:t>
            </w:r>
            <w:r>
              <w:rPr>
                <w:rFonts w:hint="eastAsia" w:ascii="方正仿宋_GBK" w:hAnsi="方正仿宋_GBK" w:eastAsia="方正仿宋_GBK" w:cs="方正仿宋_GBK"/>
                <w:color w:val="000000"/>
                <w:kern w:val="0"/>
                <w:sz w:val="30"/>
                <w:szCs w:val="30"/>
                <w:highlight w:val="none"/>
                <w:u w:val="none"/>
                <w:lang w:eastAsia="zh-CN"/>
              </w:rPr>
              <w:t>对灾害事故高风险区域内已建成的养老机构，分类采取防护加固措施或搬迁</w:t>
            </w:r>
            <w:r>
              <w:rPr>
                <w:rFonts w:hint="eastAsia" w:ascii="方正仿宋_GBK" w:hAnsi="方正仿宋_GBK" w:eastAsia="方正仿宋_GBK" w:cs="方正仿宋_GBK"/>
                <w:b w:val="0"/>
                <w:bCs w:val="0"/>
                <w:color w:val="000000"/>
                <w:kern w:val="0"/>
                <w:sz w:val="30"/>
                <w:szCs w:val="30"/>
                <w:highlight w:val="none"/>
                <w:lang w:val="en-US" w:eastAsia="zh-CN"/>
              </w:rPr>
              <w:t>。</w:t>
            </w:r>
          </w:p>
        </w:tc>
        <w:tc>
          <w:tcPr>
            <w:tcW w:w="1781" w:type="pct"/>
            <w:tcBorders>
              <w:top w:val="single" w:color="auto" w:sz="4" w:space="0"/>
              <w:left w:val="single" w:color="000000" w:sz="4" w:space="0"/>
              <w:bottom w:val="single" w:color="000000" w:sz="4" w:space="0"/>
            </w:tcBorders>
            <w:noWrap w:val="0"/>
            <w:vAlign w:val="center"/>
          </w:tcPr>
          <w:p w14:paraId="6A6F384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p w14:paraId="0414812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0A0000"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p w14:paraId="7F3A07C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6FF398D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934" w:hRule="atLeast"/>
          <w:jc w:val="center"/>
        </w:trPr>
        <w:tc>
          <w:tcPr>
            <w:tcW w:w="263" w:type="pct"/>
            <w:tcBorders>
              <w:top w:val="single" w:color="000000" w:sz="4" w:space="0"/>
              <w:bottom w:val="single" w:color="000000" w:sz="4" w:space="0"/>
              <w:right w:val="single" w:color="000000" w:sz="4" w:space="0"/>
            </w:tcBorders>
            <w:noWrap w:val="0"/>
            <w:vAlign w:val="center"/>
          </w:tcPr>
          <w:p w14:paraId="5DAC6E7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4</w:t>
            </w:r>
          </w:p>
        </w:tc>
        <w:tc>
          <w:tcPr>
            <w:tcW w:w="617" w:type="pct"/>
            <w:vMerge w:val="restart"/>
            <w:tcBorders>
              <w:left w:val="single" w:color="000000" w:sz="4" w:space="0"/>
              <w:right w:val="single" w:color="000000" w:sz="4" w:space="0"/>
            </w:tcBorders>
            <w:noWrap w:val="0"/>
            <w:vAlign w:val="center"/>
          </w:tcPr>
          <w:p w14:paraId="203C907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应急准备</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12212BB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bidi="ar-SA"/>
              </w:rPr>
            </w:pPr>
            <w:r>
              <w:rPr>
                <w:rFonts w:hint="eastAsia" w:ascii="方正仿宋_GBK" w:hAnsi="方正仿宋_GBK" w:eastAsia="方正仿宋_GBK" w:cs="方正仿宋_GBK"/>
                <w:b w:val="0"/>
                <w:bCs w:val="0"/>
                <w:color w:val="auto"/>
                <w:spacing w:val="0"/>
                <w:sz w:val="30"/>
                <w:szCs w:val="30"/>
                <w:lang w:val="en-US" w:eastAsia="zh-CN"/>
              </w:rPr>
              <w:t>是否编制养老机构防汛应急预案，是否建立人员转移避险台账，明确转移避险责任人、转移条件、转移方式、安置地点等，是否对失能老年人等重点人员落实“一对一”转移措施，是否每年开展1次突发事件应急演练。</w:t>
            </w:r>
          </w:p>
        </w:tc>
        <w:tc>
          <w:tcPr>
            <w:tcW w:w="1781" w:type="pct"/>
            <w:tcBorders>
              <w:top w:val="single" w:color="auto" w:sz="4" w:space="0"/>
              <w:left w:val="single" w:color="000000" w:sz="4" w:space="0"/>
              <w:bottom w:val="single" w:color="000000" w:sz="4" w:space="0"/>
            </w:tcBorders>
            <w:noWrap w:val="0"/>
            <w:vAlign w:val="center"/>
          </w:tcPr>
          <w:p w14:paraId="71B88B5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auto"/>
              </w:rPr>
            </w:pPr>
            <w:r>
              <w:rPr>
                <w:rFonts w:hint="eastAsia" w:ascii="方正仿宋_GBK" w:hAnsi="方正仿宋_GBK" w:eastAsia="方正仿宋_GBK" w:cs="方正仿宋_GBK"/>
                <w:color w:val="000000"/>
                <w:kern w:val="0"/>
                <w:sz w:val="30"/>
                <w:szCs w:val="30"/>
                <w:highlight w:val="none"/>
                <w:shd w:val="clear" w:color="0A0000" w:fill="auto"/>
              </w:rPr>
              <w:t>《养老机构基本规范》</w:t>
            </w:r>
            <w:r>
              <w:rPr>
                <w:rFonts w:hint="eastAsia" w:ascii="方正仿宋_GBK" w:hAnsi="方正仿宋_GBK" w:eastAsia="方正仿宋_GBK" w:cs="方正仿宋_GBK"/>
                <w:color w:val="000000"/>
                <w:kern w:val="0"/>
                <w:sz w:val="30"/>
                <w:szCs w:val="30"/>
                <w:highlight w:val="none"/>
                <w:shd w:val="clear" w:color="auto" w:fill="auto"/>
              </w:rPr>
              <w:t>（GB</w:t>
            </w:r>
            <w:r>
              <w:rPr>
                <w:rFonts w:hint="eastAsia" w:ascii="方正仿宋_GBK" w:hAnsi="方正仿宋_GBK" w:eastAsia="方正仿宋_GBK" w:cs="方正仿宋_GBK"/>
                <w:color w:val="000000"/>
                <w:kern w:val="0"/>
                <w:sz w:val="30"/>
                <w:szCs w:val="30"/>
                <w:highlight w:val="none"/>
                <w:shd w:val="clear" w:color="auto" w:fill="auto"/>
                <w:lang w:val="en-US" w:eastAsia="zh-CN"/>
              </w:rPr>
              <w:t>48013</w:t>
            </w:r>
            <w:r>
              <w:rPr>
                <w:rFonts w:hint="eastAsia" w:ascii="方正仿宋_GBK" w:hAnsi="方正仿宋_GBK" w:eastAsia="方正仿宋_GBK" w:cs="方正仿宋_GBK"/>
                <w:color w:val="000000"/>
                <w:kern w:val="0"/>
                <w:sz w:val="30"/>
                <w:szCs w:val="30"/>
                <w:highlight w:val="none"/>
                <w:shd w:val="clear" w:color="auto" w:fill="auto"/>
              </w:rPr>
              <w:t>-20</w:t>
            </w:r>
            <w:r>
              <w:rPr>
                <w:rFonts w:hint="eastAsia" w:ascii="方正仿宋_GBK" w:hAnsi="方正仿宋_GBK" w:eastAsia="方正仿宋_GBK" w:cs="方正仿宋_GBK"/>
                <w:color w:val="000000"/>
                <w:kern w:val="0"/>
                <w:sz w:val="30"/>
                <w:szCs w:val="30"/>
                <w:highlight w:val="none"/>
                <w:shd w:val="clear" w:color="auto" w:fill="auto"/>
                <w:lang w:val="en-US" w:eastAsia="zh-CN"/>
              </w:rPr>
              <w:t>26</w:t>
            </w:r>
            <w:r>
              <w:rPr>
                <w:rFonts w:hint="eastAsia" w:ascii="方正仿宋_GBK" w:hAnsi="方正仿宋_GBK" w:eastAsia="方正仿宋_GBK" w:cs="方正仿宋_GBK"/>
                <w:color w:val="000000"/>
                <w:kern w:val="0"/>
                <w:sz w:val="30"/>
                <w:szCs w:val="30"/>
                <w:highlight w:val="none"/>
                <w:shd w:val="clear" w:color="auto" w:fill="auto"/>
              </w:rPr>
              <w:t>）</w:t>
            </w:r>
          </w:p>
          <w:p w14:paraId="4DFAE67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auto"/>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549FDED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63" w:hRule="atLeast"/>
          <w:jc w:val="center"/>
        </w:trPr>
        <w:tc>
          <w:tcPr>
            <w:tcW w:w="263" w:type="pct"/>
            <w:tcBorders>
              <w:top w:val="single" w:color="000000" w:sz="4" w:space="0"/>
              <w:bottom w:val="single" w:color="000000" w:sz="4" w:space="0"/>
              <w:right w:val="single" w:color="000000" w:sz="4" w:space="0"/>
            </w:tcBorders>
            <w:noWrap w:val="0"/>
            <w:vAlign w:val="center"/>
          </w:tcPr>
          <w:p w14:paraId="2263A85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bidi="ar-SA"/>
              </w:rPr>
            </w:pPr>
            <w:r>
              <w:rPr>
                <w:rFonts w:hint="eastAsia" w:ascii="方正仿宋_GBK" w:hAnsi="方正仿宋_GBK" w:eastAsia="方正仿宋_GBK" w:cs="方正仿宋_GBK"/>
                <w:i w:val="0"/>
                <w:iCs w:val="0"/>
                <w:color w:val="333333"/>
                <w:kern w:val="0"/>
                <w:sz w:val="30"/>
                <w:szCs w:val="30"/>
                <w:highlight w:val="none"/>
                <w:u w:val="none"/>
                <w:lang w:val="en-US" w:eastAsia="zh-CN"/>
              </w:rPr>
              <w:t>5</w:t>
            </w:r>
          </w:p>
        </w:tc>
        <w:tc>
          <w:tcPr>
            <w:tcW w:w="617" w:type="pct"/>
            <w:vMerge w:val="continue"/>
            <w:tcBorders>
              <w:left w:val="single" w:color="000000" w:sz="4" w:space="0"/>
              <w:right w:val="single" w:color="000000" w:sz="4" w:space="0"/>
            </w:tcBorders>
            <w:noWrap w:val="0"/>
            <w:vAlign w:val="center"/>
          </w:tcPr>
          <w:p w14:paraId="05F7E12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66177A0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Times New Roman" w:hAnsi="Times New Roman" w:eastAsia="仿宋_GB2312" w:cs="Times New Roman"/>
                <w:b w:val="0"/>
                <w:bCs w:val="0"/>
                <w:color w:val="auto"/>
                <w:spacing w:val="0"/>
                <w:kern w:val="2"/>
                <w:sz w:val="30"/>
                <w:szCs w:val="30"/>
                <w:lang w:val="en-US" w:eastAsia="zh-CN" w:bidi="ar-SA"/>
              </w:rPr>
            </w:pPr>
            <w:r>
              <w:rPr>
                <w:rFonts w:hint="eastAsia" w:ascii="方正仿宋_GBK" w:hAnsi="方正仿宋_GBK" w:eastAsia="方正仿宋_GBK" w:cs="方正仿宋_GBK"/>
                <w:b w:val="0"/>
                <w:bCs w:val="0"/>
                <w:color w:val="000000"/>
                <w:kern w:val="0"/>
                <w:sz w:val="30"/>
                <w:szCs w:val="30"/>
                <w:highlight w:val="none"/>
                <w:lang w:val="en-US" w:eastAsia="zh-CN"/>
              </w:rPr>
              <w:t>养老机构是否建立应急救援队伍，是否与当地应急救援队伍建立联系机制，明确联系人、联系方式等。是否配备救生衣等必要的应急物资。是否按要求设置无障碍通道等安全疏散设施，配备担架、轮椅、呼救器等安全疏散辅助器材。</w:t>
            </w:r>
          </w:p>
        </w:tc>
        <w:tc>
          <w:tcPr>
            <w:tcW w:w="1781" w:type="pct"/>
            <w:tcBorders>
              <w:top w:val="single" w:color="auto" w:sz="4" w:space="0"/>
              <w:left w:val="single" w:color="000000" w:sz="4" w:space="0"/>
              <w:bottom w:val="single" w:color="000000" w:sz="4" w:space="0"/>
            </w:tcBorders>
            <w:noWrap w:val="0"/>
            <w:vAlign w:val="center"/>
          </w:tcPr>
          <w:p w14:paraId="27BC768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p w14:paraId="743720C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default"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《中共中央办公厅 国务院办公厅关于进一步提升基层应急管理能力的意见》</w:t>
            </w:r>
          </w:p>
        </w:tc>
      </w:tr>
      <w:tr w14:paraId="003EFB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996" w:hRule="atLeast"/>
          <w:jc w:val="center"/>
        </w:trPr>
        <w:tc>
          <w:tcPr>
            <w:tcW w:w="263" w:type="pct"/>
            <w:tcBorders>
              <w:top w:val="single" w:color="000000" w:sz="4" w:space="0"/>
              <w:bottom w:val="single" w:color="000000" w:sz="4" w:space="0"/>
              <w:right w:val="single" w:color="000000" w:sz="4" w:space="0"/>
            </w:tcBorders>
            <w:noWrap w:val="0"/>
            <w:vAlign w:val="center"/>
          </w:tcPr>
          <w:p w14:paraId="26E238ED">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6</w:t>
            </w:r>
          </w:p>
        </w:tc>
        <w:tc>
          <w:tcPr>
            <w:tcW w:w="617" w:type="pct"/>
            <w:vMerge w:val="continue"/>
            <w:tcBorders>
              <w:left w:val="single" w:color="000000" w:sz="4" w:space="0"/>
              <w:right w:val="single" w:color="000000" w:sz="4" w:space="0"/>
            </w:tcBorders>
            <w:noWrap w:val="0"/>
            <w:vAlign w:val="center"/>
          </w:tcPr>
          <w:p w14:paraId="72ADA9B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699D32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是否建立防汛责任制，是否落实属地政府、行业主管部门的防汛包保责任人，是否落实养老机构防汛安全责任人，是否建立汛期应急值守机制，明确带班领导和工作人员。</w:t>
            </w:r>
          </w:p>
        </w:tc>
        <w:tc>
          <w:tcPr>
            <w:tcW w:w="1781" w:type="pct"/>
            <w:tcBorders>
              <w:top w:val="single" w:color="auto" w:sz="4" w:space="0"/>
              <w:left w:val="single" w:color="000000" w:sz="4" w:space="0"/>
              <w:bottom w:val="single" w:color="000000" w:sz="4" w:space="0"/>
            </w:tcBorders>
            <w:noWrap w:val="0"/>
            <w:vAlign w:val="center"/>
          </w:tcPr>
          <w:p w14:paraId="7BDE386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《中共中央办公厅 国务院办公厅关于进一步提升基层应急管理能力的意见》</w:t>
            </w:r>
          </w:p>
          <w:p w14:paraId="397AD7B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民政部关于印发《养老机构突发事件应急预案》的通知（民发</w:t>
            </w:r>
            <w:r>
              <w:rPr>
                <w:rFonts w:hint="eastAsia" w:ascii="方正仿宋_GBK" w:hAnsi="方正仿宋_GBK" w:eastAsia="方正仿宋_GBK" w:cs="方正仿宋_GBK"/>
                <w:color w:val="000000"/>
                <w:kern w:val="0"/>
                <w:sz w:val="30"/>
                <w:szCs w:val="30"/>
                <w:highlight w:val="none"/>
                <w:lang w:val="en-US" w:eastAsia="zh-CN"/>
              </w:rPr>
              <w:t>〔2025〕32号</w:t>
            </w:r>
            <w:r>
              <w:rPr>
                <w:rFonts w:hint="eastAsia" w:ascii="方正仿宋_GBK" w:hAnsi="方正仿宋_GBK" w:eastAsia="方正仿宋_GBK" w:cs="方正仿宋_GBK"/>
                <w:b w:val="0"/>
                <w:bCs w:val="0"/>
                <w:color w:val="000000"/>
                <w:kern w:val="0"/>
                <w:sz w:val="30"/>
                <w:szCs w:val="30"/>
                <w:highlight w:val="none"/>
                <w:lang w:val="en-US" w:eastAsia="zh-CN"/>
              </w:rPr>
              <w:t>）</w:t>
            </w:r>
          </w:p>
        </w:tc>
      </w:tr>
      <w:tr w14:paraId="1347351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51" w:hRule="atLeast"/>
          <w:jc w:val="center"/>
        </w:trPr>
        <w:tc>
          <w:tcPr>
            <w:tcW w:w="263" w:type="pct"/>
            <w:tcBorders>
              <w:top w:val="single" w:color="000000" w:sz="4" w:space="0"/>
              <w:bottom w:val="single" w:color="000000" w:sz="4" w:space="0"/>
              <w:right w:val="single" w:color="000000" w:sz="4" w:space="0"/>
            </w:tcBorders>
            <w:noWrap w:val="0"/>
            <w:vAlign w:val="center"/>
          </w:tcPr>
          <w:p w14:paraId="2521C48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7</w:t>
            </w:r>
          </w:p>
        </w:tc>
        <w:tc>
          <w:tcPr>
            <w:tcW w:w="617" w:type="pct"/>
            <w:vMerge w:val="continue"/>
            <w:tcBorders>
              <w:left w:val="single" w:color="000000" w:sz="4" w:space="0"/>
              <w:right w:val="single" w:color="000000" w:sz="4" w:space="0"/>
            </w:tcBorders>
            <w:noWrap w:val="0"/>
            <w:vAlign w:val="center"/>
          </w:tcPr>
          <w:p w14:paraId="1B16B711">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286E215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是否建立健全属地政府、行业主管部门和养老机构的预警“叫应”机制，明确预警传递渠道和养老机构接收人员、反馈方式等。</w:t>
            </w:r>
          </w:p>
        </w:tc>
        <w:tc>
          <w:tcPr>
            <w:tcW w:w="1781" w:type="pct"/>
            <w:tcBorders>
              <w:top w:val="single" w:color="auto" w:sz="4" w:space="0"/>
              <w:left w:val="single" w:color="000000" w:sz="4" w:space="0"/>
              <w:bottom w:val="single" w:color="000000" w:sz="4" w:space="0"/>
            </w:tcBorders>
            <w:noWrap w:val="0"/>
            <w:vAlign w:val="center"/>
          </w:tcPr>
          <w:p w14:paraId="2AD4300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《中共中央办公厅 国务院办公厅关于进一步提升基层应急管理能力的意见》</w:t>
            </w:r>
          </w:p>
          <w:p w14:paraId="2E2D3D3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民政部关于印发《养老机构突发事件应急预案》的通知（民发</w:t>
            </w:r>
            <w:r>
              <w:rPr>
                <w:rFonts w:hint="eastAsia" w:ascii="方正仿宋_GBK" w:hAnsi="方正仿宋_GBK" w:eastAsia="方正仿宋_GBK" w:cs="方正仿宋_GBK"/>
                <w:color w:val="000000"/>
                <w:kern w:val="0"/>
                <w:sz w:val="30"/>
                <w:szCs w:val="30"/>
                <w:highlight w:val="none"/>
                <w:lang w:val="en-US" w:eastAsia="zh-CN"/>
              </w:rPr>
              <w:t>〔2025〕32号</w:t>
            </w:r>
            <w:r>
              <w:rPr>
                <w:rFonts w:hint="eastAsia" w:ascii="方正仿宋_GBK" w:hAnsi="方正仿宋_GBK" w:eastAsia="方正仿宋_GBK" w:cs="方正仿宋_GBK"/>
                <w:b w:val="0"/>
                <w:bCs w:val="0"/>
                <w:color w:val="000000"/>
                <w:kern w:val="0"/>
                <w:sz w:val="30"/>
                <w:szCs w:val="30"/>
                <w:highlight w:val="none"/>
                <w:lang w:val="en-US" w:eastAsia="zh-CN"/>
              </w:rPr>
              <w:t>）</w:t>
            </w:r>
          </w:p>
        </w:tc>
      </w:tr>
      <w:tr w14:paraId="09BA938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263" w:type="pct"/>
            <w:tcBorders>
              <w:top w:val="single" w:color="000000" w:sz="4" w:space="0"/>
              <w:bottom w:val="single" w:color="000000" w:sz="4" w:space="0"/>
              <w:right w:val="single" w:color="000000" w:sz="4" w:space="0"/>
            </w:tcBorders>
            <w:noWrap w:val="0"/>
            <w:vAlign w:val="center"/>
          </w:tcPr>
          <w:p w14:paraId="32A82B4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i w:val="0"/>
                <w:iCs w:val="0"/>
                <w:color w:val="333333"/>
                <w:kern w:val="0"/>
                <w:sz w:val="30"/>
                <w:szCs w:val="30"/>
                <w:highlight w:val="none"/>
                <w:u w:val="none"/>
                <w:lang w:val="en-US" w:eastAsia="zh-CN"/>
              </w:rPr>
            </w:pPr>
            <w:r>
              <w:rPr>
                <w:rFonts w:hint="eastAsia" w:ascii="方正仿宋_GBK" w:hAnsi="方正仿宋_GBK" w:eastAsia="方正仿宋_GBK" w:cs="方正仿宋_GBK"/>
                <w:i w:val="0"/>
                <w:iCs w:val="0"/>
                <w:color w:val="333333"/>
                <w:kern w:val="0"/>
                <w:sz w:val="30"/>
                <w:szCs w:val="30"/>
                <w:highlight w:val="none"/>
                <w:u w:val="none"/>
                <w:lang w:val="en-US" w:eastAsia="zh-CN"/>
              </w:rPr>
              <w:t>8</w:t>
            </w:r>
          </w:p>
        </w:tc>
        <w:tc>
          <w:tcPr>
            <w:tcW w:w="617" w:type="pct"/>
            <w:vMerge w:val="continue"/>
            <w:tcBorders>
              <w:left w:val="single" w:color="000000" w:sz="4" w:space="0"/>
              <w:right w:val="single" w:color="000000" w:sz="4" w:space="0"/>
            </w:tcBorders>
            <w:noWrap w:val="0"/>
            <w:vAlign w:val="center"/>
          </w:tcPr>
          <w:p w14:paraId="46EFDCFD">
            <w:pPr>
              <w:keepNext w:val="0"/>
              <w:keepLines w:val="0"/>
              <w:pageBreakBefore w:val="0"/>
              <w:widowControl/>
              <w:kinsoku/>
              <w:wordWrap/>
              <w:overflowPunct/>
              <w:topLinePunct w:val="0"/>
              <w:autoSpaceDE/>
              <w:autoSpaceDN/>
              <w:bidi w:val="0"/>
              <w:adjustRightInd/>
              <w:snapToGrid/>
              <w:spacing w:line="480" w:lineRule="exact"/>
              <w:ind w:firstLine="0" w:firstLineChars="0"/>
              <w:jc w:val="left"/>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25BA043F">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none"/>
                <w:lang w:val="en-US" w:eastAsia="zh-CN"/>
              </w:rPr>
            </w:pPr>
            <w:r>
              <w:rPr>
                <w:rFonts w:hint="eastAsia" w:ascii="方正仿宋_GBK" w:hAnsi="方正仿宋_GBK" w:eastAsia="方正仿宋_GBK" w:cs="方正仿宋_GBK"/>
                <w:b w:val="0"/>
                <w:bCs w:val="0"/>
                <w:color w:val="000000"/>
                <w:kern w:val="0"/>
                <w:sz w:val="30"/>
                <w:szCs w:val="30"/>
                <w:highlight w:val="none"/>
                <w:lang w:val="en-US" w:eastAsia="zh-CN"/>
              </w:rPr>
              <w:t>是否开展汛期风险隐患排查，行业主管部门、养老机构对度汛隐患是否进行全面自查自改，是否建立包括山洪、河流洪水、城市内涝和地质等灾害的风险隐患清单。</w:t>
            </w:r>
          </w:p>
        </w:tc>
        <w:tc>
          <w:tcPr>
            <w:tcW w:w="1781" w:type="pct"/>
            <w:tcBorders>
              <w:top w:val="single" w:color="auto" w:sz="4" w:space="0"/>
              <w:left w:val="single" w:color="000000" w:sz="4" w:space="0"/>
              <w:bottom w:val="single" w:color="000000" w:sz="4" w:space="0"/>
            </w:tcBorders>
            <w:noWrap w:val="0"/>
            <w:vAlign w:val="center"/>
          </w:tcPr>
          <w:p w14:paraId="2B07924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b w:val="0"/>
                <w:bCs w:val="0"/>
                <w:color w:val="000000"/>
                <w:kern w:val="0"/>
                <w:sz w:val="30"/>
                <w:szCs w:val="30"/>
                <w:highlight w:val="yellow"/>
                <w:lang w:val="en-US" w:eastAsia="zh-CN"/>
              </w:rPr>
            </w:pPr>
            <w:r>
              <w:rPr>
                <w:rFonts w:hint="eastAsia" w:ascii="方正仿宋_GBK" w:hAnsi="方正仿宋_GBK" w:eastAsia="方正仿宋_GBK" w:cs="方正仿宋_GBK"/>
                <w:color w:val="000000"/>
                <w:kern w:val="0"/>
                <w:sz w:val="30"/>
                <w:szCs w:val="30"/>
                <w:highlight w:val="none"/>
              </w:rPr>
              <w:t>国务院办公厅转发民政部等部门《关于进一步加强养老机构安全管理的意见》的通知</w:t>
            </w:r>
            <w:r>
              <w:rPr>
                <w:rFonts w:hint="eastAsia" w:ascii="方正仿宋_GBK" w:hAnsi="方正仿宋_GBK" w:eastAsia="方正仿宋_GBK" w:cs="方正仿宋_GBK"/>
                <w:color w:val="000000"/>
                <w:kern w:val="0"/>
                <w:sz w:val="30"/>
                <w:szCs w:val="30"/>
                <w:highlight w:val="none"/>
                <w:lang w:eastAsia="zh-CN"/>
              </w:rPr>
              <w:t>（</w:t>
            </w:r>
            <w:r>
              <w:rPr>
                <w:rFonts w:hint="eastAsia" w:ascii="方正仿宋_GBK" w:hAnsi="方正仿宋_GBK" w:eastAsia="方正仿宋_GBK" w:cs="方正仿宋_GBK"/>
                <w:color w:val="000000"/>
                <w:kern w:val="0"/>
                <w:sz w:val="30"/>
                <w:szCs w:val="30"/>
                <w:highlight w:val="none"/>
                <w:lang w:val="en-US" w:eastAsia="zh-CN"/>
              </w:rPr>
              <w:t>国办函〔2026〕14号</w:t>
            </w:r>
            <w:r>
              <w:rPr>
                <w:rFonts w:hint="eastAsia" w:ascii="方正仿宋_GBK" w:hAnsi="方正仿宋_GBK" w:eastAsia="方正仿宋_GBK" w:cs="方正仿宋_GBK"/>
                <w:color w:val="000000"/>
                <w:kern w:val="0"/>
                <w:sz w:val="30"/>
                <w:szCs w:val="30"/>
                <w:highlight w:val="none"/>
                <w:lang w:eastAsia="zh-CN"/>
              </w:rPr>
              <w:t>）</w:t>
            </w:r>
          </w:p>
        </w:tc>
      </w:tr>
      <w:tr w14:paraId="264DCD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gridSpan w:val="4"/>
            <w:tcBorders>
              <w:top w:val="single" w:color="000000" w:sz="4" w:space="0"/>
              <w:bottom w:val="single" w:color="000000" w:sz="4" w:space="0"/>
            </w:tcBorders>
            <w:noWrap w:val="0"/>
            <w:vAlign w:val="center"/>
          </w:tcPr>
          <w:p w14:paraId="4A19DD0A">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服务质量安全</w:t>
            </w:r>
          </w:p>
        </w:tc>
      </w:tr>
      <w:tr w14:paraId="383929E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263" w:type="pct"/>
            <w:tcBorders>
              <w:top w:val="single" w:color="000000" w:sz="4" w:space="0"/>
              <w:bottom w:val="single" w:color="000000" w:sz="4" w:space="0"/>
              <w:right w:val="single" w:color="000000" w:sz="4" w:space="0"/>
            </w:tcBorders>
            <w:noWrap w:val="0"/>
            <w:vAlign w:val="center"/>
          </w:tcPr>
          <w:p w14:paraId="7760009C">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序号</w:t>
            </w:r>
          </w:p>
        </w:tc>
        <w:tc>
          <w:tcPr>
            <w:tcW w:w="617" w:type="pct"/>
            <w:tcBorders>
              <w:top w:val="single" w:color="000000" w:sz="4" w:space="0"/>
              <w:left w:val="single" w:color="000000" w:sz="4" w:space="0"/>
              <w:bottom w:val="single" w:color="000000" w:sz="4" w:space="0"/>
              <w:right w:val="single" w:color="000000" w:sz="4" w:space="0"/>
            </w:tcBorders>
            <w:noWrap w:val="0"/>
            <w:vAlign w:val="center"/>
          </w:tcPr>
          <w:p w14:paraId="7012FB1C">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检查项目</w:t>
            </w: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2FCAF2FB">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检查事项</w:t>
            </w:r>
          </w:p>
        </w:tc>
        <w:tc>
          <w:tcPr>
            <w:tcW w:w="1781" w:type="pct"/>
            <w:tcBorders>
              <w:top w:val="single" w:color="000000" w:sz="4" w:space="0"/>
              <w:left w:val="single" w:color="000000" w:sz="4" w:space="0"/>
              <w:bottom w:val="single" w:color="000000" w:sz="4" w:space="0"/>
            </w:tcBorders>
            <w:noWrap w:val="0"/>
            <w:vAlign w:val="center"/>
          </w:tcPr>
          <w:p w14:paraId="45B875AF">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6AEC3AA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263" w:type="pct"/>
            <w:noWrap w:val="0"/>
            <w:vAlign w:val="center"/>
          </w:tcPr>
          <w:p w14:paraId="1637217C">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w:t>
            </w:r>
          </w:p>
        </w:tc>
        <w:tc>
          <w:tcPr>
            <w:tcW w:w="617" w:type="pct"/>
            <w:vMerge w:val="restart"/>
            <w:noWrap w:val="0"/>
            <w:vAlign w:val="center"/>
          </w:tcPr>
          <w:p w14:paraId="53B6958E">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kern w:val="0"/>
                <w:sz w:val="30"/>
                <w:szCs w:val="30"/>
                <w:highlight w:val="none"/>
                <w:u w:val="none"/>
                <w:lang w:val="en-US" w:eastAsia="zh-CN"/>
              </w:rPr>
            </w:pPr>
            <w:r>
              <w:rPr>
                <w:rFonts w:hint="eastAsia" w:ascii="方正楷体_GBK" w:hAnsi="方正楷体_GBK" w:eastAsia="方正楷体_GBK" w:cs="方正楷体_GBK"/>
                <w:i w:val="0"/>
                <w:iCs w:val="0"/>
                <w:color w:val="000000"/>
                <w:kern w:val="0"/>
                <w:sz w:val="30"/>
                <w:szCs w:val="30"/>
                <w:highlight w:val="none"/>
                <w:u w:val="none"/>
                <w:lang w:val="en-US" w:eastAsia="zh-CN"/>
              </w:rPr>
              <w:t>运营秩序</w:t>
            </w:r>
          </w:p>
        </w:tc>
        <w:tc>
          <w:tcPr>
            <w:tcW w:w="2337" w:type="pct"/>
            <w:noWrap w:val="0"/>
            <w:vAlign w:val="center"/>
          </w:tcPr>
          <w:p w14:paraId="27387999">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是否依法登记、备案；备案信息是否与养老机构实际情况相符。</w:t>
            </w:r>
          </w:p>
        </w:tc>
        <w:tc>
          <w:tcPr>
            <w:tcW w:w="1781" w:type="pct"/>
            <w:noWrap w:val="0"/>
            <w:vAlign w:val="center"/>
          </w:tcPr>
          <w:p w14:paraId="54E47441">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《养老机构管理办法》（民政部令第66号）</w:t>
            </w:r>
          </w:p>
        </w:tc>
      </w:tr>
      <w:tr w14:paraId="5A229B8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noWrap w:val="0"/>
            <w:vAlign w:val="center"/>
          </w:tcPr>
          <w:p w14:paraId="53074B48">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2</w:t>
            </w:r>
          </w:p>
        </w:tc>
        <w:tc>
          <w:tcPr>
            <w:tcW w:w="617" w:type="pct"/>
            <w:vMerge w:val="continue"/>
            <w:noWrap w:val="0"/>
            <w:vAlign w:val="center"/>
          </w:tcPr>
          <w:p w14:paraId="660CDA9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noWrap w:val="0"/>
            <w:vAlign w:val="center"/>
          </w:tcPr>
          <w:p w14:paraId="01DC9C60">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是否建立制定服务标准和工作流程，并予以公开。</w:t>
            </w:r>
          </w:p>
        </w:tc>
        <w:tc>
          <w:tcPr>
            <w:tcW w:w="1781" w:type="pct"/>
            <w:noWrap w:val="0"/>
            <w:vAlign w:val="center"/>
          </w:tcPr>
          <w:p w14:paraId="5F7F6AEF">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《养老机构管理办法》（民政部令第66号）</w:t>
            </w:r>
          </w:p>
        </w:tc>
      </w:tr>
      <w:tr w14:paraId="62A3A08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24" w:hRule="atLeast"/>
          <w:jc w:val="center"/>
        </w:trPr>
        <w:tc>
          <w:tcPr>
            <w:tcW w:w="263" w:type="pct"/>
            <w:noWrap w:val="0"/>
            <w:vAlign w:val="center"/>
          </w:tcPr>
          <w:p w14:paraId="3BA03759">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3</w:t>
            </w:r>
          </w:p>
        </w:tc>
        <w:tc>
          <w:tcPr>
            <w:tcW w:w="617" w:type="pct"/>
            <w:vMerge w:val="continue"/>
            <w:noWrap w:val="0"/>
            <w:vAlign w:val="center"/>
          </w:tcPr>
          <w:p w14:paraId="54F6E0F4">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kern w:val="0"/>
                <w:sz w:val="30"/>
                <w:szCs w:val="30"/>
                <w:highlight w:val="none"/>
                <w:u w:val="none"/>
                <w:lang w:val="en-US" w:eastAsia="zh-CN"/>
              </w:rPr>
            </w:pPr>
          </w:p>
        </w:tc>
        <w:tc>
          <w:tcPr>
            <w:tcW w:w="2337" w:type="pct"/>
            <w:noWrap w:val="0"/>
            <w:vAlign w:val="center"/>
          </w:tcPr>
          <w:p w14:paraId="5F62454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val="en-US" w:eastAsia="zh-CN"/>
              </w:rPr>
              <w:t>是否与老年人或其代理人签订服务协议。</w:t>
            </w:r>
            <w:r>
              <w:rPr>
                <w:rFonts w:hint="eastAsia" w:ascii="方正仿宋_GBK" w:hAnsi="方正仿宋_GBK" w:eastAsia="方正仿宋_GBK" w:cs="方正仿宋_GBK"/>
                <w:i w:val="0"/>
                <w:iCs w:val="0"/>
                <w:color w:val="000000"/>
                <w:kern w:val="0"/>
                <w:sz w:val="30"/>
                <w:szCs w:val="30"/>
                <w:highlight w:val="none"/>
                <w:u w:val="none"/>
                <w:lang w:val="en-US" w:eastAsia="zh-CN"/>
              </w:rPr>
              <w:t>是否建立入院评估制度，对老年人身心状况进行评估，根据评估结果确定照料护理等级。</w:t>
            </w:r>
          </w:p>
        </w:tc>
        <w:tc>
          <w:tcPr>
            <w:tcW w:w="1781" w:type="pct"/>
            <w:noWrap w:val="0"/>
            <w:vAlign w:val="center"/>
          </w:tcPr>
          <w:p w14:paraId="7E7CF5F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《养老机构管理办法》（民政部令第66号）</w:t>
            </w:r>
          </w:p>
        </w:tc>
      </w:tr>
      <w:tr w14:paraId="0B9C87A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376" w:hRule="atLeast"/>
          <w:jc w:val="center"/>
        </w:trPr>
        <w:tc>
          <w:tcPr>
            <w:tcW w:w="263" w:type="pct"/>
            <w:tcBorders>
              <w:top w:val="single" w:color="000000" w:sz="4" w:space="0"/>
              <w:bottom w:val="single" w:color="000000" w:sz="4" w:space="0"/>
              <w:right w:val="single" w:color="000000" w:sz="4" w:space="0"/>
            </w:tcBorders>
            <w:noWrap w:val="0"/>
            <w:vAlign w:val="center"/>
          </w:tcPr>
          <w:p w14:paraId="753B229B">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4</w:t>
            </w:r>
          </w:p>
        </w:tc>
        <w:tc>
          <w:tcPr>
            <w:tcW w:w="617" w:type="pct"/>
            <w:vMerge w:val="continue"/>
            <w:noWrap w:val="0"/>
            <w:vAlign w:val="center"/>
          </w:tcPr>
          <w:p w14:paraId="4B79398D">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kern w:val="0"/>
                <w:sz w:val="30"/>
                <w:szCs w:val="30"/>
                <w:highlight w:val="none"/>
                <w:u w:val="none"/>
                <w:lang w:val="en-US" w:eastAsia="zh-CN"/>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663E54A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是否建立老年人信息档案和健康档案，收集和妥善保管服务协议等相关资料；档案的保管期限是否不少于服务协议期满后五年。</w:t>
            </w:r>
          </w:p>
        </w:tc>
        <w:tc>
          <w:tcPr>
            <w:tcW w:w="1781" w:type="pct"/>
            <w:tcBorders>
              <w:top w:val="single" w:color="000000" w:sz="4" w:space="0"/>
              <w:left w:val="single" w:color="000000" w:sz="4" w:space="0"/>
              <w:bottom w:val="single" w:color="000000" w:sz="4" w:space="0"/>
            </w:tcBorders>
            <w:noWrap w:val="0"/>
            <w:vAlign w:val="center"/>
          </w:tcPr>
          <w:p w14:paraId="5FAB90E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《养老机构管理办法》（民政部令第66号）</w:t>
            </w:r>
          </w:p>
          <w:p w14:paraId="1C1A0C7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tc>
      </w:tr>
      <w:tr w14:paraId="75BEB40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263" w:type="pct"/>
            <w:tcBorders>
              <w:top w:val="single" w:color="000000" w:sz="4" w:space="0"/>
              <w:bottom w:val="single" w:color="000000" w:sz="4" w:space="0"/>
              <w:right w:val="single" w:color="000000" w:sz="4" w:space="0"/>
            </w:tcBorders>
            <w:noWrap w:val="0"/>
            <w:vAlign w:val="center"/>
          </w:tcPr>
          <w:p w14:paraId="20B41ED2">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5</w:t>
            </w:r>
          </w:p>
        </w:tc>
        <w:tc>
          <w:tcPr>
            <w:tcW w:w="617" w:type="pct"/>
            <w:vMerge w:val="continue"/>
            <w:noWrap w:val="0"/>
            <w:vAlign w:val="center"/>
          </w:tcPr>
          <w:p w14:paraId="464EA3BF">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339B6C7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是否在各出入口、接待大厅、值班室、楼道、食堂等公共场所安装视频监控设施，监控视频图像是否保存不少于30天。</w:t>
            </w:r>
          </w:p>
        </w:tc>
        <w:tc>
          <w:tcPr>
            <w:tcW w:w="1781" w:type="pct"/>
            <w:tcBorders>
              <w:top w:val="single" w:color="000000" w:sz="4" w:space="0"/>
              <w:left w:val="single" w:color="000000" w:sz="4" w:space="0"/>
              <w:bottom w:val="single" w:color="000000" w:sz="4" w:space="0"/>
            </w:tcBorders>
            <w:noWrap w:val="0"/>
            <w:vAlign w:val="center"/>
          </w:tcPr>
          <w:p w14:paraId="237D0B76">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《养老机构管理办法》（民政部令第66号）</w:t>
            </w:r>
          </w:p>
          <w:p w14:paraId="60BA05D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tc>
      </w:tr>
      <w:tr w14:paraId="3D69F82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263" w:type="pct"/>
            <w:tcBorders>
              <w:top w:val="single" w:color="000000" w:sz="4" w:space="0"/>
              <w:bottom w:val="single" w:color="000000" w:sz="4" w:space="0"/>
              <w:right w:val="single" w:color="000000" w:sz="4" w:space="0"/>
            </w:tcBorders>
            <w:noWrap w:val="0"/>
            <w:vAlign w:val="center"/>
          </w:tcPr>
          <w:p w14:paraId="46B93692">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6</w:t>
            </w:r>
          </w:p>
        </w:tc>
        <w:tc>
          <w:tcPr>
            <w:tcW w:w="617" w:type="pct"/>
            <w:vMerge w:val="continue"/>
            <w:noWrap w:val="0"/>
            <w:vAlign w:val="center"/>
          </w:tcPr>
          <w:p w14:paraId="04D4DA3F">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eastAsia" w:ascii="方正仿宋_GBK" w:hAnsi="方正仿宋_GBK" w:eastAsia="方正仿宋_GBK" w:cs="方正仿宋_GBK"/>
                <w:color w:val="000000"/>
                <w:kern w:val="0"/>
                <w:sz w:val="30"/>
                <w:szCs w:val="30"/>
                <w:highlight w:val="none"/>
                <w:u w:val="none"/>
                <w:lang w:val="en-US" w:eastAsia="zh-CN"/>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4F2B4A6D">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lang w:val="en-US" w:eastAsia="zh-CN"/>
              </w:rPr>
              <w:t>是否公开投诉处理电话和安全责任人信息，投诉是否由专人负责处理、反馈，留存记录。</w:t>
            </w:r>
          </w:p>
        </w:tc>
        <w:tc>
          <w:tcPr>
            <w:tcW w:w="1781" w:type="pct"/>
            <w:tcBorders>
              <w:top w:val="single" w:color="000000" w:sz="4" w:space="0"/>
              <w:left w:val="single" w:color="000000" w:sz="4" w:space="0"/>
              <w:bottom w:val="single" w:color="000000" w:sz="4" w:space="0"/>
            </w:tcBorders>
            <w:noWrap w:val="0"/>
            <w:vAlign w:val="center"/>
          </w:tcPr>
          <w:p w14:paraId="1522F8C2">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lang w:val="en-US" w:eastAsia="zh-CN"/>
              </w:rPr>
            </w:pPr>
            <w:r>
              <w:rPr>
                <w:rFonts w:hint="eastAsia" w:ascii="方正仿宋_GBK" w:hAnsi="方正仿宋_GBK" w:eastAsia="方正仿宋_GBK" w:cs="方正仿宋_GBK"/>
                <w:color w:val="000000"/>
                <w:kern w:val="0"/>
                <w:sz w:val="30"/>
                <w:szCs w:val="30"/>
                <w:highlight w:val="none"/>
                <w:shd w:val="clear" w:color="0A0000" w:fill="auto"/>
              </w:rPr>
              <w:t>《养老机构基本规范》（GB</w:t>
            </w:r>
            <w:r>
              <w:rPr>
                <w:rFonts w:hint="eastAsia" w:ascii="方正仿宋_GBK" w:hAnsi="方正仿宋_GBK" w:eastAsia="方正仿宋_GBK" w:cs="方正仿宋_GBK"/>
                <w:color w:val="000000"/>
                <w:kern w:val="0"/>
                <w:sz w:val="30"/>
                <w:szCs w:val="30"/>
                <w:highlight w:val="none"/>
                <w:shd w:val="clear" w:color="0A0000" w:fill="auto"/>
                <w:lang w:val="en-US" w:eastAsia="zh-CN"/>
              </w:rPr>
              <w:t>48013</w:t>
            </w:r>
            <w:r>
              <w:rPr>
                <w:rFonts w:hint="eastAsia" w:ascii="方正仿宋_GBK" w:hAnsi="方正仿宋_GBK" w:eastAsia="方正仿宋_GBK" w:cs="方正仿宋_GBK"/>
                <w:color w:val="000000"/>
                <w:kern w:val="0"/>
                <w:sz w:val="30"/>
                <w:szCs w:val="30"/>
                <w:highlight w:val="none"/>
                <w:shd w:val="clear" w:color="0A0000" w:fill="auto"/>
              </w:rPr>
              <w:t>-20</w:t>
            </w:r>
            <w:r>
              <w:rPr>
                <w:rFonts w:hint="eastAsia" w:ascii="方正仿宋_GBK" w:hAnsi="方正仿宋_GBK" w:eastAsia="方正仿宋_GBK" w:cs="方正仿宋_GBK"/>
                <w:color w:val="000000"/>
                <w:kern w:val="0"/>
                <w:sz w:val="30"/>
                <w:szCs w:val="30"/>
                <w:highlight w:val="none"/>
                <w:shd w:val="clear" w:color="0A0000" w:fill="auto"/>
                <w:lang w:val="en-US" w:eastAsia="zh-CN"/>
              </w:rPr>
              <w:t>26</w:t>
            </w:r>
            <w:r>
              <w:rPr>
                <w:rFonts w:hint="eastAsia" w:ascii="方正仿宋_GBK" w:hAnsi="方正仿宋_GBK" w:eastAsia="方正仿宋_GBK" w:cs="方正仿宋_GBK"/>
                <w:color w:val="000000"/>
                <w:kern w:val="0"/>
                <w:sz w:val="30"/>
                <w:szCs w:val="30"/>
                <w:highlight w:val="none"/>
                <w:shd w:val="clear" w:color="0A0000" w:fill="auto"/>
              </w:rPr>
              <w:t>）</w:t>
            </w:r>
          </w:p>
        </w:tc>
      </w:tr>
      <w:tr w14:paraId="2C4F7BD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263" w:type="pct"/>
            <w:tcBorders>
              <w:top w:val="single" w:color="000000" w:sz="4" w:space="0"/>
              <w:bottom w:val="single" w:color="000000" w:sz="4" w:space="0"/>
              <w:right w:val="single" w:color="000000" w:sz="4" w:space="0"/>
            </w:tcBorders>
            <w:noWrap w:val="0"/>
            <w:vAlign w:val="center"/>
          </w:tcPr>
          <w:p w14:paraId="052F8F29">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7</w:t>
            </w:r>
          </w:p>
        </w:tc>
        <w:tc>
          <w:tcPr>
            <w:tcW w:w="617" w:type="pct"/>
            <w:vMerge w:val="restart"/>
            <w:tcBorders>
              <w:top w:val="single" w:color="000000" w:sz="4" w:space="0"/>
              <w:left w:val="single" w:color="000000" w:sz="4" w:space="0"/>
              <w:right w:val="single" w:color="000000" w:sz="4" w:space="0"/>
            </w:tcBorders>
            <w:noWrap w:val="0"/>
            <w:vAlign w:val="center"/>
          </w:tcPr>
          <w:p w14:paraId="4A43517D">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center"/>
              <w:rPr>
                <w:rFonts w:hint="default" w:ascii="方正楷体_GBK" w:hAnsi="方正楷体_GBK" w:eastAsia="方正楷体_GBK" w:cs="方正楷体_GBK"/>
                <w:i w:val="0"/>
                <w:iCs w:val="0"/>
                <w:color w:val="000000"/>
                <w:sz w:val="30"/>
                <w:szCs w:val="30"/>
                <w:highlight w:val="none"/>
                <w:u w:val="none"/>
                <w:lang w:val="en-US"/>
              </w:rPr>
            </w:pPr>
            <w:r>
              <w:rPr>
                <w:rFonts w:hint="eastAsia" w:ascii="方正楷体_GBK" w:hAnsi="方正楷体_GBK" w:eastAsia="方正楷体_GBK" w:cs="方正楷体_GBK"/>
                <w:i w:val="0"/>
                <w:iCs w:val="0"/>
                <w:color w:val="000000"/>
                <w:kern w:val="0"/>
                <w:sz w:val="30"/>
                <w:szCs w:val="30"/>
                <w:highlight w:val="none"/>
                <w:u w:val="none"/>
                <w:lang w:val="en-US" w:eastAsia="zh-CN"/>
              </w:rPr>
              <w:t>从业人员</w:t>
            </w: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6521E19F">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u w:val="none"/>
                <w:lang w:val="en-US" w:eastAsia="zh-CN"/>
              </w:rPr>
              <w:t>是否配备与服务和运营相适应的工作人员，依法与其签订聘用合同或劳动合同。从事医疗、康复、消防等服务的人员，是否具备相应的职业资格。</w:t>
            </w:r>
          </w:p>
        </w:tc>
        <w:tc>
          <w:tcPr>
            <w:tcW w:w="1781" w:type="pct"/>
            <w:tcBorders>
              <w:top w:val="single" w:color="000000" w:sz="4" w:space="0"/>
              <w:left w:val="single" w:color="000000" w:sz="4" w:space="0"/>
              <w:bottom w:val="single" w:color="000000" w:sz="4" w:space="0"/>
            </w:tcBorders>
            <w:noWrap w:val="0"/>
            <w:vAlign w:val="center"/>
          </w:tcPr>
          <w:p w14:paraId="0AC9B533">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《养老机构管理办法》（民政部令第66号）</w:t>
            </w:r>
          </w:p>
          <w:p w14:paraId="1660171D">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tc>
      </w:tr>
      <w:tr w14:paraId="09D349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415" w:hRule="atLeast"/>
          <w:jc w:val="center"/>
        </w:trPr>
        <w:tc>
          <w:tcPr>
            <w:tcW w:w="263" w:type="pct"/>
            <w:tcBorders>
              <w:top w:val="single" w:color="000000" w:sz="4" w:space="0"/>
              <w:bottom w:val="single" w:color="000000" w:sz="4" w:space="0"/>
              <w:right w:val="single" w:color="000000" w:sz="4" w:space="0"/>
            </w:tcBorders>
            <w:noWrap w:val="0"/>
            <w:vAlign w:val="center"/>
          </w:tcPr>
          <w:p w14:paraId="4250EFF4">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8</w:t>
            </w:r>
          </w:p>
        </w:tc>
        <w:tc>
          <w:tcPr>
            <w:tcW w:w="617" w:type="pct"/>
            <w:vMerge w:val="continue"/>
            <w:tcBorders>
              <w:left w:val="single" w:color="000000" w:sz="4" w:space="0"/>
              <w:right w:val="single" w:color="000000" w:sz="4" w:space="0"/>
            </w:tcBorders>
            <w:noWrap w:val="0"/>
            <w:vAlign w:val="center"/>
          </w:tcPr>
          <w:p w14:paraId="49C639F3">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default" w:ascii="方正楷体_GBK" w:hAnsi="方正楷体_GBK" w:eastAsia="方正楷体_GBK" w:cs="方正楷体_GBK"/>
                <w:i w:val="0"/>
                <w:iCs w:val="0"/>
                <w:color w:val="000000"/>
                <w:sz w:val="30"/>
                <w:szCs w:val="30"/>
                <w:highlight w:val="none"/>
                <w:u w:val="none"/>
                <w:lang w:val="en-US"/>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6409C4CA">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提供直接护理服务的养老护理员与老年人配备比例是否不低于相关要求。</w:t>
            </w:r>
          </w:p>
        </w:tc>
        <w:tc>
          <w:tcPr>
            <w:tcW w:w="1781" w:type="pct"/>
            <w:tcBorders>
              <w:top w:val="single" w:color="000000" w:sz="4" w:space="0"/>
              <w:left w:val="single" w:color="000000" w:sz="4" w:space="0"/>
              <w:bottom w:val="single" w:color="000000" w:sz="4" w:space="0"/>
            </w:tcBorders>
            <w:noWrap w:val="0"/>
            <w:vAlign w:val="center"/>
          </w:tcPr>
          <w:p w14:paraId="508B28B9">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7AE4A6F1">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shd w:val="clear" w:color="auto" w:fill="FFFFFF"/>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4470997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470" w:hRule="atLeast"/>
          <w:jc w:val="center"/>
        </w:trPr>
        <w:tc>
          <w:tcPr>
            <w:tcW w:w="263" w:type="pct"/>
            <w:tcBorders>
              <w:top w:val="single" w:color="000000" w:sz="4" w:space="0"/>
              <w:bottom w:val="single" w:color="000000" w:sz="4" w:space="0"/>
              <w:right w:val="single" w:color="000000" w:sz="4" w:space="0"/>
            </w:tcBorders>
            <w:noWrap w:val="0"/>
            <w:vAlign w:val="center"/>
          </w:tcPr>
          <w:p w14:paraId="4667EA56">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9</w:t>
            </w:r>
          </w:p>
        </w:tc>
        <w:tc>
          <w:tcPr>
            <w:tcW w:w="617" w:type="pct"/>
            <w:vMerge w:val="continue"/>
            <w:tcBorders>
              <w:left w:val="single" w:color="000000" w:sz="4" w:space="0"/>
              <w:right w:val="single" w:color="000000" w:sz="4" w:space="0"/>
            </w:tcBorders>
            <w:noWrap w:val="0"/>
            <w:vAlign w:val="center"/>
          </w:tcPr>
          <w:p w14:paraId="2E124F92">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4530CF7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default" w:ascii="方正仿宋_GBK" w:hAnsi="方正仿宋_GBK" w:eastAsia="方正仿宋_GBK" w:cs="方正仿宋_GBK"/>
                <w:i w:val="0"/>
                <w:iCs w:val="0"/>
                <w:color w:val="000000"/>
                <w:sz w:val="30"/>
                <w:szCs w:val="30"/>
                <w:highlight w:val="none"/>
                <w:u w:val="none"/>
                <w:lang w:val="en-US"/>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val="en-US" w:eastAsia="zh-CN"/>
              </w:rPr>
              <w:t>养老护理员是否经培训合格后上岗。从业人员</w:t>
            </w:r>
            <w:r>
              <w:rPr>
                <w:rFonts w:hint="eastAsia" w:ascii="方正仿宋_GBK" w:hAnsi="方正仿宋_GBK" w:eastAsia="方正仿宋_GBK" w:cs="方正仿宋_GBK"/>
                <w:i w:val="0"/>
                <w:iCs w:val="0"/>
                <w:color w:val="000000"/>
                <w:kern w:val="0"/>
                <w:sz w:val="30"/>
                <w:szCs w:val="30"/>
                <w:highlight w:val="none"/>
                <w:u w:val="none"/>
                <w:lang w:val="en-US" w:eastAsia="zh-CN"/>
              </w:rPr>
              <w:t>是否至少每半年接受1次岗位安全、职业安全教育，且考核合格率不低于80％。</w:t>
            </w:r>
          </w:p>
        </w:tc>
        <w:tc>
          <w:tcPr>
            <w:tcW w:w="1781" w:type="pct"/>
            <w:tcBorders>
              <w:top w:val="single" w:color="auto" w:sz="4" w:space="0"/>
              <w:left w:val="single" w:color="000000" w:sz="4" w:space="0"/>
              <w:bottom w:val="single" w:color="000000" w:sz="4" w:space="0"/>
            </w:tcBorders>
            <w:noWrap w:val="0"/>
            <w:vAlign w:val="center"/>
          </w:tcPr>
          <w:p w14:paraId="4320C6B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《养老机构服务安全基本规范》</w:t>
            </w:r>
          </w:p>
          <w:p w14:paraId="49608BC9">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shd w:val="clear" w:color="auto" w:fill="FFFFFF"/>
              </w:rPr>
              <w:t>（</w:t>
            </w:r>
            <w:r>
              <w:rPr>
                <w:rFonts w:hint="eastAsia" w:ascii="方正仿宋_GBK" w:hAnsi="方正仿宋_GBK" w:eastAsia="方正仿宋_GBK" w:cs="方正仿宋_GBK"/>
                <w:color w:val="000000"/>
                <w:kern w:val="0"/>
                <w:sz w:val="30"/>
                <w:szCs w:val="30"/>
                <w:highlight w:val="none"/>
              </w:rPr>
              <w:t>GB38600-2019</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0648F69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7501F1A0">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val="en-US"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6F005F4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150" w:hRule="atLeast"/>
          <w:jc w:val="center"/>
        </w:trPr>
        <w:tc>
          <w:tcPr>
            <w:tcW w:w="263" w:type="pct"/>
            <w:tcBorders>
              <w:top w:val="single" w:color="000000" w:sz="4" w:space="0"/>
              <w:bottom w:val="single" w:color="000000" w:sz="4" w:space="0"/>
              <w:right w:val="single" w:color="000000" w:sz="4" w:space="0"/>
            </w:tcBorders>
            <w:noWrap w:val="0"/>
            <w:vAlign w:val="center"/>
          </w:tcPr>
          <w:p w14:paraId="2C8191F6">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10</w:t>
            </w:r>
          </w:p>
        </w:tc>
        <w:tc>
          <w:tcPr>
            <w:tcW w:w="617" w:type="pct"/>
            <w:vMerge w:val="restart"/>
            <w:tcBorders>
              <w:left w:val="single" w:color="000000" w:sz="4" w:space="0"/>
              <w:right w:val="single" w:color="000000" w:sz="4" w:space="0"/>
            </w:tcBorders>
            <w:noWrap w:val="0"/>
            <w:vAlign w:val="center"/>
          </w:tcPr>
          <w:p w14:paraId="7A308EFC">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lang w:eastAsia="zh-CN"/>
              </w:rPr>
            </w:pPr>
            <w:r>
              <w:rPr>
                <w:rFonts w:hint="eastAsia" w:ascii="方正楷体_GBK" w:hAnsi="方正楷体_GBK" w:eastAsia="方正楷体_GBK" w:cs="方正楷体_GBK"/>
                <w:i w:val="0"/>
                <w:iCs w:val="0"/>
                <w:color w:val="000000"/>
                <w:sz w:val="30"/>
                <w:szCs w:val="30"/>
                <w:highlight w:val="none"/>
                <w:u w:val="none"/>
                <w:lang w:eastAsia="zh-CN"/>
              </w:rPr>
              <w:t>服务规范</w:t>
            </w: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4A13F7B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val="en-US" w:eastAsia="zh-CN"/>
              </w:rPr>
              <w:t>是否按照“九防”相关服务安全基本规范，提供照料护理服务。</w:t>
            </w:r>
          </w:p>
        </w:tc>
        <w:tc>
          <w:tcPr>
            <w:tcW w:w="1781" w:type="pct"/>
            <w:tcBorders>
              <w:top w:val="single" w:color="auto" w:sz="4" w:space="0"/>
              <w:left w:val="single" w:color="000000" w:sz="4" w:space="0"/>
              <w:bottom w:val="single" w:color="000000" w:sz="4" w:space="0"/>
            </w:tcBorders>
            <w:noWrap w:val="0"/>
            <w:vAlign w:val="center"/>
          </w:tcPr>
          <w:p w14:paraId="2C8DFB3A">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《养老机构服务安全基本规范》</w:t>
            </w:r>
          </w:p>
          <w:p w14:paraId="6F11EAE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方正仿宋_GBK"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shd w:val="clear" w:color="auto" w:fill="FFFFFF"/>
              </w:rPr>
              <w:t>（</w:t>
            </w:r>
            <w:r>
              <w:rPr>
                <w:rFonts w:hint="eastAsia" w:ascii="方正仿宋_GBK" w:hAnsi="方正仿宋_GBK" w:eastAsia="方正仿宋_GBK" w:cs="方正仿宋_GBK"/>
                <w:color w:val="000000"/>
                <w:kern w:val="0"/>
                <w:sz w:val="30"/>
                <w:szCs w:val="30"/>
                <w:highlight w:val="none"/>
              </w:rPr>
              <w:t>GB38600-2019</w:t>
            </w:r>
            <w:r>
              <w:rPr>
                <w:rFonts w:hint="eastAsia" w:ascii="方正仿宋_GBK" w:hAnsi="方正仿宋_GBK" w:eastAsia="方正仿宋_GBK" w:cs="方正仿宋_GBK"/>
                <w:color w:val="000000"/>
                <w:kern w:val="0"/>
                <w:sz w:val="30"/>
                <w:szCs w:val="30"/>
                <w:highlight w:val="none"/>
                <w:shd w:val="clear" w:color="auto" w:fill="FFFFFF"/>
                <w:lang w:eastAsia="zh-CN"/>
              </w:rPr>
              <w:t>）</w:t>
            </w:r>
          </w:p>
        </w:tc>
      </w:tr>
      <w:tr w14:paraId="745548E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984" w:hRule="atLeast"/>
          <w:jc w:val="center"/>
        </w:trPr>
        <w:tc>
          <w:tcPr>
            <w:tcW w:w="263" w:type="pct"/>
            <w:tcBorders>
              <w:top w:val="single" w:color="000000" w:sz="4" w:space="0"/>
              <w:bottom w:val="single" w:color="000000" w:sz="4" w:space="0"/>
              <w:right w:val="single" w:color="000000" w:sz="4" w:space="0"/>
            </w:tcBorders>
            <w:noWrap w:val="0"/>
            <w:vAlign w:val="center"/>
          </w:tcPr>
          <w:p w14:paraId="04AB4DF4">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11</w:t>
            </w:r>
          </w:p>
        </w:tc>
        <w:tc>
          <w:tcPr>
            <w:tcW w:w="617" w:type="pct"/>
            <w:vMerge w:val="continue"/>
            <w:tcBorders>
              <w:left w:val="single" w:color="000000" w:sz="4" w:space="0"/>
              <w:right w:val="single" w:color="000000" w:sz="4" w:space="0"/>
            </w:tcBorders>
            <w:noWrap w:val="0"/>
            <w:vAlign w:val="center"/>
          </w:tcPr>
          <w:p w14:paraId="1DD70315">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3061D02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是否专人管理易燃易爆、有毒有害、尖锐物品以及吸烟火种。</w:t>
            </w:r>
          </w:p>
        </w:tc>
        <w:tc>
          <w:tcPr>
            <w:tcW w:w="1781" w:type="pct"/>
            <w:tcBorders>
              <w:top w:val="single" w:color="auto" w:sz="4" w:space="0"/>
              <w:left w:val="single" w:color="000000" w:sz="4" w:space="0"/>
              <w:bottom w:val="single" w:color="000000" w:sz="4" w:space="0"/>
            </w:tcBorders>
            <w:noWrap w:val="0"/>
            <w:vAlign w:val="center"/>
          </w:tcPr>
          <w:p w14:paraId="6C64E42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rPr>
            </w:pPr>
            <w:r>
              <w:rPr>
                <w:rFonts w:hint="eastAsia" w:ascii="方正仿宋_GBK" w:hAnsi="方正仿宋_GBK" w:eastAsia="方正仿宋_GBK" w:cs="方正仿宋_GBK"/>
                <w:color w:val="000000"/>
                <w:kern w:val="0"/>
                <w:sz w:val="30"/>
                <w:szCs w:val="30"/>
                <w:highlight w:val="none"/>
              </w:rPr>
              <w:t>《养老机构服务安全基本规范》</w:t>
            </w:r>
          </w:p>
          <w:p w14:paraId="199D87A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shd w:val="clear" w:color="auto" w:fill="FFFFFF"/>
              </w:rPr>
              <w:t>（</w:t>
            </w:r>
            <w:r>
              <w:rPr>
                <w:rFonts w:hint="eastAsia" w:ascii="方正仿宋_GBK" w:hAnsi="方正仿宋_GBK" w:eastAsia="方正仿宋_GBK" w:cs="方正仿宋_GBK"/>
                <w:color w:val="000000"/>
                <w:kern w:val="0"/>
                <w:sz w:val="30"/>
                <w:szCs w:val="30"/>
                <w:highlight w:val="none"/>
              </w:rPr>
              <w:t>GB38600-2019</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3F216E2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p w14:paraId="342CC55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shd w:val="clear" w:color="auto" w:fill="FFFFFF"/>
                <w:lang w:eastAsia="zh-CN"/>
              </w:rPr>
            </w:pPr>
            <w:r>
              <w:rPr>
                <w:rFonts w:hint="eastAsia" w:ascii="方正仿宋_GBK" w:hAnsi="方正仿宋_GBK" w:eastAsia="方正仿宋_GBK" w:cs="方正仿宋_GBK"/>
                <w:color w:val="000000"/>
                <w:kern w:val="0"/>
                <w:sz w:val="30"/>
                <w:szCs w:val="30"/>
                <w:highlight w:val="none"/>
                <w:lang w:eastAsia="zh-CN"/>
              </w:rPr>
              <w:t>《养老机构重大事故隐患判定准则》（</w:t>
            </w:r>
            <w:r>
              <w:rPr>
                <w:rFonts w:hint="eastAsia" w:ascii="方正仿宋_GBK" w:hAnsi="方正仿宋_GBK" w:eastAsia="方正仿宋_GBK" w:cs="方正仿宋_GBK"/>
                <w:color w:val="000000"/>
                <w:kern w:val="0"/>
                <w:sz w:val="30"/>
                <w:szCs w:val="30"/>
                <w:highlight w:val="none"/>
                <w:lang w:val="en-US" w:eastAsia="zh-CN"/>
              </w:rPr>
              <w:t>GB48014-2026</w:t>
            </w:r>
            <w:r>
              <w:rPr>
                <w:rFonts w:hint="eastAsia" w:ascii="方正仿宋_GBK" w:hAnsi="方正仿宋_GBK" w:eastAsia="方正仿宋_GBK" w:cs="方正仿宋_GBK"/>
                <w:color w:val="000000"/>
                <w:kern w:val="0"/>
                <w:sz w:val="30"/>
                <w:szCs w:val="30"/>
                <w:highlight w:val="none"/>
                <w:lang w:eastAsia="zh-CN"/>
              </w:rPr>
              <w:t>）</w:t>
            </w:r>
          </w:p>
        </w:tc>
      </w:tr>
      <w:tr w14:paraId="6373710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512" w:hRule="atLeast"/>
          <w:jc w:val="center"/>
        </w:trPr>
        <w:tc>
          <w:tcPr>
            <w:tcW w:w="263" w:type="pct"/>
            <w:tcBorders>
              <w:top w:val="single" w:color="000000" w:sz="4" w:space="0"/>
              <w:bottom w:val="single" w:color="000000" w:sz="4" w:space="0"/>
              <w:right w:val="single" w:color="000000" w:sz="4" w:space="0"/>
            </w:tcBorders>
            <w:noWrap w:val="0"/>
            <w:vAlign w:val="center"/>
          </w:tcPr>
          <w:p w14:paraId="46097266">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12</w:t>
            </w:r>
          </w:p>
        </w:tc>
        <w:tc>
          <w:tcPr>
            <w:tcW w:w="617" w:type="pct"/>
            <w:vMerge w:val="continue"/>
            <w:tcBorders>
              <w:left w:val="single" w:color="000000" w:sz="4" w:space="0"/>
              <w:right w:val="single" w:color="000000" w:sz="4" w:space="0"/>
            </w:tcBorders>
            <w:noWrap w:val="0"/>
            <w:vAlign w:val="center"/>
          </w:tcPr>
          <w:p w14:paraId="7DF8B1BF">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AA0331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olor w:val="000000"/>
                <w:kern w:val="0"/>
                <w:sz w:val="30"/>
                <w:szCs w:val="30"/>
                <w:highlight w:val="none"/>
                <w:u w:val="none"/>
                <w:lang w:val="en-US" w:eastAsia="zh-CN"/>
              </w:rPr>
              <w:t>是否对老年人居住和公共区域进行卫生清洁并消毒，保持无异味、地面无积水；是否每日至少打扫1次卫生间，厕位及周边无水渍、污渍</w:t>
            </w:r>
            <w:r>
              <w:rPr>
                <w:rFonts w:hint="eastAsia" w:ascii="方正仿宋_GBK" w:hAnsi="方正仿宋_GBK" w:eastAsia="方正仿宋_GBK" w:cs="方正仿宋_GBK"/>
                <w:color w:val="000000"/>
                <w:kern w:val="0"/>
                <w:sz w:val="30"/>
                <w:szCs w:val="30"/>
                <w:highlight w:val="none"/>
                <w:u w:val="none"/>
                <w:lang w:val="en-US" w:eastAsia="zh-CN"/>
              </w:rPr>
              <w:t>。</w:t>
            </w:r>
          </w:p>
        </w:tc>
        <w:tc>
          <w:tcPr>
            <w:tcW w:w="1781" w:type="pct"/>
            <w:tcBorders>
              <w:top w:val="single" w:color="auto" w:sz="4" w:space="0"/>
              <w:left w:val="single" w:color="000000" w:sz="4" w:space="0"/>
              <w:bottom w:val="single" w:color="000000" w:sz="4" w:space="0"/>
            </w:tcBorders>
            <w:noWrap w:val="0"/>
            <w:vAlign w:val="center"/>
          </w:tcPr>
          <w:p w14:paraId="53405937">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tc>
      </w:tr>
      <w:tr w14:paraId="413294B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037" w:hRule="atLeast"/>
          <w:jc w:val="center"/>
        </w:trPr>
        <w:tc>
          <w:tcPr>
            <w:tcW w:w="263" w:type="pct"/>
            <w:tcBorders>
              <w:top w:val="single" w:color="000000" w:sz="4" w:space="0"/>
              <w:bottom w:val="single" w:color="000000" w:sz="4" w:space="0"/>
              <w:right w:val="single" w:color="000000" w:sz="4" w:space="0"/>
            </w:tcBorders>
            <w:noWrap w:val="0"/>
            <w:vAlign w:val="center"/>
          </w:tcPr>
          <w:p w14:paraId="027BF977">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13</w:t>
            </w:r>
          </w:p>
        </w:tc>
        <w:tc>
          <w:tcPr>
            <w:tcW w:w="617" w:type="pct"/>
            <w:vMerge w:val="continue"/>
            <w:tcBorders>
              <w:left w:val="single" w:color="000000" w:sz="4" w:space="0"/>
              <w:right w:val="single" w:color="000000" w:sz="4" w:space="0"/>
            </w:tcBorders>
            <w:noWrap w:val="0"/>
            <w:vAlign w:val="center"/>
          </w:tcPr>
          <w:p w14:paraId="667F7590">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B0ED97E">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color w:val="000000"/>
                <w:kern w:val="0"/>
                <w:sz w:val="30"/>
                <w:szCs w:val="30"/>
                <w:highlight w:val="none"/>
                <w:u w:val="none"/>
                <w:lang w:eastAsia="zh-CN"/>
              </w:rPr>
              <w:t>从业人员</w:t>
            </w:r>
            <w:r>
              <w:rPr>
                <w:rFonts w:hint="eastAsia" w:ascii="方正仿宋_GBK" w:hAnsi="方正仿宋_GBK" w:eastAsia="方正仿宋_GBK" w:cs="方正仿宋_GBK"/>
                <w:color w:val="000000"/>
                <w:kern w:val="0"/>
                <w:sz w:val="30"/>
                <w:szCs w:val="30"/>
                <w:highlight w:val="none"/>
                <w:u w:val="none"/>
              </w:rPr>
              <w:t>是否存在</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rPr>
              <w:t>态度恶劣、冷漠、欺辱、殴打、谩骂、虐待老年人</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lang w:val="en-US" w:eastAsia="zh-CN"/>
              </w:rPr>
              <w:t>等行为。</w:t>
            </w:r>
          </w:p>
        </w:tc>
        <w:tc>
          <w:tcPr>
            <w:tcW w:w="1781" w:type="pct"/>
            <w:tcBorders>
              <w:top w:val="single" w:color="auto" w:sz="4" w:space="0"/>
              <w:left w:val="single" w:color="000000" w:sz="4" w:space="0"/>
              <w:bottom w:val="single" w:color="000000" w:sz="4" w:space="0"/>
            </w:tcBorders>
            <w:noWrap w:val="0"/>
            <w:vAlign w:val="center"/>
          </w:tcPr>
          <w:p w14:paraId="79D07E3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《养老机构管理办法》（民政部令第66号）</w:t>
            </w:r>
          </w:p>
        </w:tc>
      </w:tr>
      <w:tr w14:paraId="5199B98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263" w:type="pct"/>
            <w:tcBorders>
              <w:top w:val="single" w:color="000000" w:sz="4" w:space="0"/>
              <w:bottom w:val="single" w:color="000000" w:sz="4" w:space="0"/>
              <w:right w:val="single" w:color="000000" w:sz="4" w:space="0"/>
            </w:tcBorders>
            <w:noWrap w:val="0"/>
            <w:vAlign w:val="center"/>
          </w:tcPr>
          <w:p w14:paraId="6950FE24">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14</w:t>
            </w:r>
          </w:p>
        </w:tc>
        <w:tc>
          <w:tcPr>
            <w:tcW w:w="617" w:type="pct"/>
            <w:vMerge w:val="continue"/>
            <w:tcBorders>
              <w:left w:val="single" w:color="000000" w:sz="4" w:space="0"/>
              <w:right w:val="single" w:color="000000" w:sz="4" w:space="0"/>
            </w:tcBorders>
            <w:noWrap w:val="0"/>
            <w:vAlign w:val="center"/>
          </w:tcPr>
          <w:p w14:paraId="25A42F5C">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76CEB85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eastAsia="zh-CN"/>
              </w:rPr>
            </w:pPr>
            <w:r>
              <w:rPr>
                <w:rFonts w:hint="eastAsia" w:ascii="方正仿宋_GBK" w:hAnsi="方正仿宋_GBK" w:eastAsia="方正仿宋_GBK" w:cs="方正仿宋_GBK"/>
                <w:color w:val="000000"/>
                <w:kern w:val="0"/>
                <w:sz w:val="30"/>
                <w:szCs w:val="30"/>
                <w:highlight w:val="none"/>
                <w:u w:val="none"/>
                <w:lang w:eastAsia="zh-CN"/>
              </w:rPr>
              <w:t>养老机构是否每年开展不少于</w:t>
            </w:r>
            <w:r>
              <w:rPr>
                <w:rFonts w:hint="eastAsia" w:ascii="方正仿宋_GBK" w:hAnsi="方正仿宋_GBK" w:eastAsia="方正仿宋_GBK" w:cs="方正仿宋_GBK"/>
                <w:color w:val="000000"/>
                <w:kern w:val="0"/>
                <w:sz w:val="30"/>
                <w:szCs w:val="30"/>
                <w:highlight w:val="none"/>
                <w:u w:val="none"/>
                <w:lang w:val="en-US" w:eastAsia="zh-CN"/>
              </w:rPr>
              <w:t>1</w:t>
            </w:r>
            <w:r>
              <w:rPr>
                <w:rFonts w:hint="eastAsia" w:ascii="方正仿宋_GBK" w:hAnsi="方正仿宋_GBK" w:eastAsia="方正仿宋_GBK" w:cs="方正仿宋_GBK"/>
                <w:color w:val="000000"/>
                <w:kern w:val="0"/>
                <w:sz w:val="30"/>
                <w:szCs w:val="30"/>
                <w:highlight w:val="none"/>
                <w:u w:val="none"/>
                <w:lang w:eastAsia="zh-CN"/>
              </w:rPr>
              <w:t>次的服务满意度测评。</w:t>
            </w:r>
          </w:p>
        </w:tc>
        <w:tc>
          <w:tcPr>
            <w:tcW w:w="1781" w:type="pct"/>
            <w:tcBorders>
              <w:top w:val="single" w:color="auto" w:sz="4" w:space="0"/>
              <w:left w:val="single" w:color="000000" w:sz="4" w:space="0"/>
              <w:bottom w:val="single" w:color="000000" w:sz="4" w:space="0"/>
            </w:tcBorders>
            <w:noWrap w:val="0"/>
            <w:vAlign w:val="top"/>
          </w:tcPr>
          <w:p w14:paraId="2C9F3CFC">
            <w:pPr>
              <w:keepNext w:val="0"/>
              <w:keepLines w:val="0"/>
              <w:pageBreakBefore w:val="0"/>
              <w:widowControl/>
              <w:kinsoku/>
              <w:wordWrap/>
              <w:overflowPunct/>
              <w:topLinePunct w:val="0"/>
              <w:autoSpaceDE/>
              <w:autoSpaceDN/>
              <w:bidi w:val="0"/>
              <w:adjustRightInd/>
              <w:snapToGrid/>
              <w:spacing w:line="480" w:lineRule="exact"/>
              <w:ind w:left="0" w:leftChars="0" w:right="0" w:firstLine="0" w:firstLineChars="0"/>
              <w:jc w:val="left"/>
              <w:textAlignment w:val="auto"/>
              <w:outlineLvl w:val="9"/>
              <w:rPr>
                <w:rFonts w:hint="eastAsia" w:ascii="方正仿宋_GBK" w:hAnsi="方正仿宋_GBK" w:eastAsia="方正仿宋_GBK" w:cs="方正仿宋_GBK"/>
                <w:color w:val="000000"/>
                <w:kern w:val="0"/>
                <w:sz w:val="30"/>
                <w:szCs w:val="30"/>
                <w:highlight w:val="none"/>
                <w:u w:val="none"/>
                <w:lang w:eastAsia="zh-CN"/>
              </w:rPr>
            </w:pPr>
            <w:r>
              <w:rPr>
                <w:rFonts w:hint="eastAsia" w:ascii="方正仿宋_GBK" w:hAnsi="方正仿宋_GBK" w:eastAsia="方正仿宋_GBK" w:cs="方正仿宋_GBK"/>
                <w:color w:val="000000"/>
                <w:kern w:val="0"/>
                <w:sz w:val="30"/>
                <w:szCs w:val="30"/>
                <w:highlight w:val="none"/>
                <w:lang w:eastAsia="zh-CN"/>
              </w:rPr>
              <w:t>《养老机构基本规范》</w:t>
            </w:r>
            <w:r>
              <w:rPr>
                <w:rFonts w:hint="eastAsia" w:ascii="方正仿宋_GBK" w:hAnsi="方正仿宋_GBK" w:eastAsia="方正仿宋_GBK" w:cs="方正仿宋_GBK"/>
                <w:color w:val="000000"/>
                <w:kern w:val="0"/>
                <w:sz w:val="30"/>
                <w:szCs w:val="30"/>
                <w:highlight w:val="none"/>
                <w:shd w:val="clear" w:color="auto" w:fill="FFFFFF"/>
                <w:lang w:eastAsia="zh-CN"/>
              </w:rPr>
              <w:t>（</w:t>
            </w:r>
            <w:r>
              <w:rPr>
                <w:rFonts w:hint="eastAsia" w:ascii="方正仿宋_GBK" w:hAnsi="方正仿宋_GBK" w:eastAsia="方正仿宋_GBK" w:cs="方正仿宋_GBK"/>
                <w:color w:val="000000"/>
                <w:kern w:val="0"/>
                <w:sz w:val="30"/>
                <w:szCs w:val="30"/>
                <w:highlight w:val="none"/>
                <w:lang w:val="en-US" w:eastAsia="zh-CN"/>
              </w:rPr>
              <w:t>GB48013-2026</w:t>
            </w:r>
            <w:r>
              <w:rPr>
                <w:rFonts w:hint="eastAsia" w:ascii="方正仿宋_GBK" w:hAnsi="方正仿宋_GBK" w:eastAsia="方正仿宋_GBK" w:cs="方正仿宋_GBK"/>
                <w:color w:val="000000"/>
                <w:kern w:val="0"/>
                <w:sz w:val="30"/>
                <w:szCs w:val="30"/>
                <w:highlight w:val="none"/>
                <w:shd w:val="clear" w:color="auto" w:fill="FFFFFF"/>
                <w:lang w:eastAsia="zh-CN"/>
              </w:rPr>
              <w:t>）</w:t>
            </w:r>
          </w:p>
        </w:tc>
      </w:tr>
      <w:tr w14:paraId="1D190CD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722" w:hRule="atLeast"/>
          <w:jc w:val="center"/>
        </w:trPr>
        <w:tc>
          <w:tcPr>
            <w:tcW w:w="263" w:type="pct"/>
            <w:tcBorders>
              <w:top w:val="single" w:color="000000" w:sz="4" w:space="0"/>
              <w:bottom w:val="single" w:color="000000" w:sz="4" w:space="0"/>
              <w:right w:val="single" w:color="000000" w:sz="4" w:space="0"/>
            </w:tcBorders>
            <w:noWrap w:val="0"/>
            <w:vAlign w:val="center"/>
          </w:tcPr>
          <w:p w14:paraId="03AA9BD2">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15</w:t>
            </w:r>
          </w:p>
        </w:tc>
        <w:tc>
          <w:tcPr>
            <w:tcW w:w="617" w:type="pct"/>
            <w:vMerge w:val="continue"/>
            <w:tcBorders>
              <w:left w:val="single" w:color="000000" w:sz="4" w:space="0"/>
              <w:right w:val="single" w:color="000000" w:sz="4" w:space="0"/>
            </w:tcBorders>
            <w:noWrap w:val="0"/>
            <w:vAlign w:val="center"/>
          </w:tcPr>
          <w:p w14:paraId="454DC510">
            <w:pPr>
              <w:keepNext w:val="0"/>
              <w:keepLines w:val="0"/>
              <w:pageBreakBefore w:val="0"/>
              <w:widowControl/>
              <w:kinsoku/>
              <w:wordWrap/>
              <w:overflowPunct/>
              <w:topLinePunct w:val="0"/>
              <w:autoSpaceDE/>
              <w:autoSpaceDN/>
              <w:bidi w:val="0"/>
              <w:adjustRightInd/>
              <w:snapToGrid/>
              <w:spacing w:line="480" w:lineRule="exact"/>
              <w:ind w:left="425" w:hanging="425" w:firstLineChars="0"/>
              <w:jc w:val="center"/>
              <w:textAlignment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46ED91A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使用保护性约束器具，是否遵照医嘱，是否与老年人或相关第三方签署知情同意书，按照操作规范执行。</w:t>
            </w:r>
          </w:p>
        </w:tc>
        <w:tc>
          <w:tcPr>
            <w:tcW w:w="1781" w:type="pct"/>
            <w:tcBorders>
              <w:top w:val="single" w:color="auto" w:sz="4" w:space="0"/>
              <w:left w:val="single" w:color="000000" w:sz="4" w:space="0"/>
              <w:bottom w:val="single" w:color="000000" w:sz="4" w:space="0"/>
            </w:tcBorders>
            <w:noWrap w:val="0"/>
            <w:vAlign w:val="center"/>
          </w:tcPr>
          <w:p w14:paraId="03A37D3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w:t>
            </w:r>
            <w:r>
              <w:rPr>
                <w:rFonts w:hint="eastAsia" w:ascii="方正仿宋_GBK" w:hAnsi="方正仿宋_GBK" w:eastAsia="方正仿宋_GBK" w:cs="方正仿宋_GBK"/>
                <w:color w:val="000000"/>
                <w:kern w:val="0"/>
                <w:sz w:val="30"/>
                <w:szCs w:val="30"/>
                <w:highlight w:val="none"/>
                <w:lang w:eastAsia="zh-CN"/>
              </w:rPr>
              <w:t>老年人保护性约束服务规范</w:t>
            </w:r>
            <w:r>
              <w:rPr>
                <w:rFonts w:hint="eastAsia" w:ascii="方正仿宋_GBK" w:hAnsi="方正仿宋_GBK" w:eastAsia="方正仿宋_GBK" w:cs="方正仿宋_GBK"/>
                <w:color w:val="000000"/>
                <w:kern w:val="0"/>
                <w:sz w:val="30"/>
                <w:szCs w:val="30"/>
                <w:highlight w:val="none"/>
              </w:rPr>
              <w:t>》（GBT</w:t>
            </w:r>
            <w:r>
              <w:rPr>
                <w:rFonts w:hint="eastAsia" w:ascii="方正仿宋_GBK" w:hAnsi="方正仿宋_GBK" w:eastAsia="方正仿宋_GBK" w:cs="方正仿宋_GBK"/>
                <w:color w:val="000000"/>
                <w:kern w:val="0"/>
                <w:sz w:val="30"/>
                <w:szCs w:val="30"/>
                <w:highlight w:val="none"/>
                <w:lang w:val="en-US" w:eastAsia="zh-CN"/>
              </w:rPr>
              <w:t>46911</w:t>
            </w:r>
            <w:r>
              <w:rPr>
                <w:rFonts w:hint="eastAsia" w:ascii="方正仿宋_GBK" w:hAnsi="方正仿宋_GBK" w:eastAsia="方正仿宋_GBK" w:cs="方正仿宋_GBK"/>
                <w:color w:val="000000"/>
                <w:kern w:val="0"/>
                <w:sz w:val="30"/>
                <w:szCs w:val="30"/>
                <w:highlight w:val="none"/>
              </w:rPr>
              <w:t>-20</w:t>
            </w:r>
            <w:r>
              <w:rPr>
                <w:rFonts w:hint="eastAsia" w:ascii="方正仿宋_GBK" w:hAnsi="方正仿宋_GBK" w:eastAsia="方正仿宋_GBK" w:cs="方正仿宋_GBK"/>
                <w:color w:val="000000"/>
                <w:kern w:val="0"/>
                <w:sz w:val="30"/>
                <w:szCs w:val="30"/>
                <w:highlight w:val="none"/>
                <w:lang w:val="en-US" w:eastAsia="zh-CN"/>
              </w:rPr>
              <w:t>25</w:t>
            </w:r>
            <w:r>
              <w:rPr>
                <w:rFonts w:hint="eastAsia" w:ascii="方正仿宋_GBK" w:hAnsi="方正仿宋_GBK" w:eastAsia="方正仿宋_GBK" w:cs="方正仿宋_GBK"/>
                <w:color w:val="000000"/>
                <w:kern w:val="0"/>
                <w:sz w:val="30"/>
                <w:szCs w:val="30"/>
                <w:highlight w:val="none"/>
              </w:rPr>
              <w:t>）</w:t>
            </w:r>
          </w:p>
        </w:tc>
      </w:tr>
      <w:tr w14:paraId="58561BA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5458FE4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16</w:t>
            </w:r>
          </w:p>
        </w:tc>
        <w:tc>
          <w:tcPr>
            <w:tcW w:w="617" w:type="pct"/>
            <w:vMerge w:val="continue"/>
            <w:tcBorders>
              <w:left w:val="single" w:color="000000" w:sz="4" w:space="0"/>
              <w:right w:val="single" w:color="000000" w:sz="4" w:space="0"/>
            </w:tcBorders>
            <w:noWrap w:val="0"/>
            <w:vAlign w:val="center"/>
          </w:tcPr>
          <w:p w14:paraId="19923C5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auto" w:sz="4" w:space="0"/>
              <w:left w:val="single" w:color="000000" w:sz="4" w:space="0"/>
              <w:bottom w:val="single" w:color="000000" w:sz="4" w:space="0"/>
              <w:right w:val="single" w:color="000000" w:sz="4" w:space="0"/>
            </w:tcBorders>
            <w:noWrap w:val="0"/>
            <w:vAlign w:val="center"/>
          </w:tcPr>
          <w:p w14:paraId="677697E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eastAsia="zh-CN"/>
              </w:rPr>
            </w:pPr>
            <w:r>
              <w:rPr>
                <w:rFonts w:hint="eastAsia" w:ascii="方正仿宋_GBK" w:hAnsi="方正仿宋_GBK" w:eastAsia="方正仿宋_GBK" w:cs="方正仿宋_GBK"/>
                <w:color w:val="000000"/>
                <w:kern w:val="0"/>
                <w:sz w:val="30"/>
                <w:szCs w:val="30"/>
                <w:highlight w:val="none"/>
                <w:u w:val="none"/>
                <w:lang w:eastAsia="zh-CN"/>
              </w:rPr>
              <w:t>老年人在机构突发危重疾病或受伤后，养老机构是否及时转送医疗机构救治并及时通知代理人或紧急联系人。</w:t>
            </w:r>
          </w:p>
        </w:tc>
        <w:tc>
          <w:tcPr>
            <w:tcW w:w="1781" w:type="pct"/>
            <w:tcBorders>
              <w:top w:val="single" w:color="auto" w:sz="4" w:space="0"/>
              <w:left w:val="single" w:color="000000" w:sz="4" w:space="0"/>
              <w:bottom w:val="single" w:color="000000" w:sz="4" w:space="0"/>
            </w:tcBorders>
            <w:noWrap w:val="0"/>
            <w:vAlign w:val="center"/>
          </w:tcPr>
          <w:p w14:paraId="3691088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eastAsia="zh-CN"/>
              </w:rPr>
            </w:pPr>
            <w:r>
              <w:rPr>
                <w:rFonts w:hint="eastAsia" w:ascii="方正仿宋_GBK" w:hAnsi="方正仿宋_GBK" w:eastAsia="方正仿宋_GBK" w:cs="方正仿宋_GBK"/>
                <w:color w:val="000000"/>
                <w:kern w:val="0"/>
                <w:sz w:val="30"/>
                <w:szCs w:val="30"/>
                <w:highlight w:val="none"/>
              </w:rPr>
              <w:t>《养老机构管理办法》（民政部令第66号）</w:t>
            </w:r>
          </w:p>
        </w:tc>
      </w:tr>
      <w:tr w14:paraId="22DC3A0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gridSpan w:val="4"/>
            <w:tcBorders>
              <w:top w:val="single" w:color="000000" w:sz="4" w:space="0"/>
              <w:bottom w:val="single" w:color="000000" w:sz="4" w:space="0"/>
            </w:tcBorders>
            <w:noWrap w:val="0"/>
            <w:vAlign w:val="center"/>
          </w:tcPr>
          <w:p w14:paraId="03E18075">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b/>
                <w:bCs/>
                <w:i w:val="0"/>
                <w:iCs w:val="0"/>
                <w:color w:val="000000"/>
                <w:kern w:val="0"/>
                <w:sz w:val="30"/>
                <w:szCs w:val="30"/>
                <w:u w:val="none"/>
                <w:lang w:val="en-US" w:eastAsia="zh-CN"/>
              </w:rPr>
            </w:pPr>
            <w:r>
              <w:rPr>
                <w:rFonts w:hint="eastAsia" w:ascii="黑体" w:hAnsi="黑体" w:eastAsia="黑体" w:cs="黑体"/>
                <w:b/>
                <w:bCs/>
                <w:i w:val="0"/>
                <w:iCs w:val="0"/>
                <w:color w:val="000000"/>
                <w:kern w:val="0"/>
                <w:sz w:val="30"/>
                <w:szCs w:val="30"/>
                <w:u w:val="none"/>
                <w:lang w:val="en-US" w:eastAsia="zh-CN"/>
              </w:rPr>
              <w:t>资金安全</w:t>
            </w:r>
          </w:p>
        </w:tc>
      </w:tr>
      <w:tr w14:paraId="1C911FB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3" w:type="pct"/>
            <w:tcBorders>
              <w:top w:val="single" w:color="000000" w:sz="4" w:space="0"/>
              <w:bottom w:val="single" w:color="000000" w:sz="4" w:space="0"/>
              <w:right w:val="single" w:color="000000" w:sz="4" w:space="0"/>
            </w:tcBorders>
            <w:noWrap w:val="0"/>
            <w:vAlign w:val="center"/>
          </w:tcPr>
          <w:p w14:paraId="58BEB842">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序号</w:t>
            </w:r>
          </w:p>
        </w:tc>
        <w:tc>
          <w:tcPr>
            <w:tcW w:w="617" w:type="pct"/>
            <w:tcBorders>
              <w:top w:val="single" w:color="000000" w:sz="4" w:space="0"/>
              <w:left w:val="single" w:color="000000" w:sz="4" w:space="0"/>
              <w:right w:val="single" w:color="000000" w:sz="4" w:space="0"/>
            </w:tcBorders>
            <w:noWrap w:val="0"/>
            <w:vAlign w:val="center"/>
          </w:tcPr>
          <w:p w14:paraId="338F9A1D">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检查项目</w:t>
            </w: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6368EDD1">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检查事项</w:t>
            </w:r>
          </w:p>
        </w:tc>
        <w:tc>
          <w:tcPr>
            <w:tcW w:w="1781" w:type="pct"/>
            <w:tcBorders>
              <w:top w:val="single" w:color="000000" w:sz="4" w:space="0"/>
              <w:left w:val="single" w:color="000000" w:sz="4" w:space="0"/>
              <w:bottom w:val="single" w:color="000000" w:sz="4" w:space="0"/>
            </w:tcBorders>
            <w:noWrap w:val="0"/>
            <w:vAlign w:val="center"/>
          </w:tcPr>
          <w:p w14:paraId="43621F15">
            <w:pPr>
              <w:keepNext w:val="0"/>
              <w:keepLines w:val="0"/>
              <w:pageBreakBefore w:val="0"/>
              <w:widowControl/>
              <w:tabs>
                <w:tab w:val="left" w:pos="1120"/>
              </w:tabs>
              <w:kinsoku/>
              <w:wordWrap/>
              <w:overflowPunct/>
              <w:topLinePunct w:val="0"/>
              <w:autoSpaceDE/>
              <w:autoSpaceDN/>
              <w:bidi w:val="0"/>
              <w:adjustRightInd/>
              <w:snapToGrid/>
              <w:spacing w:line="480" w:lineRule="exact"/>
              <w:ind w:firstLine="0" w:firstLineChars="0"/>
              <w:jc w:val="center"/>
              <w:textAlignment w:val="center"/>
              <w:rPr>
                <w:rFonts w:hint="eastAsia" w:ascii="黑体" w:hAnsi="黑体" w:eastAsia="黑体" w:cs="黑体"/>
                <w:color w:val="000000"/>
                <w:kern w:val="0"/>
                <w:sz w:val="30"/>
                <w:szCs w:val="30"/>
                <w:highlight w:val="none"/>
                <w:u w:val="none"/>
                <w:lang w:val="en-US" w:eastAsia="zh-CN"/>
              </w:rPr>
            </w:pPr>
            <w:r>
              <w:rPr>
                <w:rFonts w:hint="eastAsia" w:ascii="黑体" w:hAnsi="黑体" w:eastAsia="黑体" w:cs="黑体"/>
                <w:color w:val="000000"/>
                <w:kern w:val="0"/>
                <w:sz w:val="30"/>
                <w:szCs w:val="30"/>
                <w:highlight w:val="none"/>
                <w:u w:val="none"/>
                <w:lang w:val="en-US" w:eastAsia="zh-CN"/>
              </w:rPr>
              <w:t>检查依据</w:t>
            </w:r>
          </w:p>
        </w:tc>
      </w:tr>
      <w:tr w14:paraId="76B87AD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317" w:hRule="atLeast"/>
          <w:jc w:val="center"/>
        </w:trPr>
        <w:tc>
          <w:tcPr>
            <w:tcW w:w="263" w:type="pct"/>
            <w:tcBorders>
              <w:top w:val="single" w:color="000000" w:sz="4" w:space="0"/>
              <w:bottom w:val="single" w:color="000000" w:sz="4" w:space="0"/>
              <w:right w:val="single" w:color="000000" w:sz="4" w:space="0"/>
            </w:tcBorders>
            <w:noWrap w:val="0"/>
            <w:vAlign w:val="center"/>
          </w:tcPr>
          <w:p w14:paraId="459CFD2B">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1</w:t>
            </w:r>
          </w:p>
        </w:tc>
        <w:tc>
          <w:tcPr>
            <w:tcW w:w="617" w:type="pct"/>
            <w:vMerge w:val="restart"/>
            <w:tcBorders>
              <w:top w:val="single" w:color="000000" w:sz="4" w:space="0"/>
              <w:left w:val="single" w:color="000000" w:sz="4" w:space="0"/>
              <w:right w:val="single" w:color="000000" w:sz="4" w:space="0"/>
            </w:tcBorders>
            <w:noWrap w:val="0"/>
            <w:vAlign w:val="center"/>
          </w:tcPr>
          <w:p w14:paraId="6DCF5C55">
            <w:pPr>
              <w:keepNext w:val="0"/>
              <w:keepLines w:val="0"/>
              <w:pageBreakBefore w:val="0"/>
              <w:widowControl/>
              <w:kinsoku/>
              <w:wordWrap/>
              <w:overflowPunct/>
              <w:topLinePunct w:val="0"/>
              <w:autoSpaceDE/>
              <w:autoSpaceDN/>
              <w:bidi w:val="0"/>
              <w:adjustRightInd/>
              <w:snapToGrid/>
              <w:spacing w:line="480" w:lineRule="exact"/>
              <w:ind w:firstLine="0" w:firstLineChars="0"/>
              <w:jc w:val="center"/>
              <w:rPr>
                <w:rFonts w:hint="eastAsia" w:ascii="方正楷体_GBK" w:hAnsi="方正楷体_GBK" w:eastAsia="方正楷体_GBK" w:cs="方正楷体_GBK"/>
                <w:i w:val="0"/>
                <w:iCs w:val="0"/>
                <w:color w:val="000000"/>
                <w:sz w:val="30"/>
                <w:szCs w:val="30"/>
                <w:highlight w:val="none"/>
                <w:u w:val="none"/>
              </w:rPr>
            </w:pPr>
            <w:r>
              <w:rPr>
                <w:rFonts w:hint="eastAsia" w:ascii="方正楷体_GBK" w:hAnsi="方正楷体_GBK" w:eastAsia="方正楷体_GBK" w:cs="方正楷体_GBK"/>
                <w:i w:val="0"/>
                <w:iCs w:val="0"/>
                <w:color w:val="000000"/>
                <w:kern w:val="0"/>
                <w:sz w:val="30"/>
                <w:szCs w:val="30"/>
                <w:highlight w:val="none"/>
                <w:u w:val="none"/>
                <w:lang w:val="en-US" w:eastAsia="zh-CN"/>
              </w:rPr>
              <w:t>收费管理</w:t>
            </w: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39FB478C">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采用预收费方式的养老机构，是否按照有关要求收取、管理、使用、退还预收资金等。收取押金、会员费的养老机构，</w:t>
            </w:r>
            <w:r>
              <w:rPr>
                <w:rFonts w:hint="eastAsia" w:ascii="方正仿宋_GBK" w:hAnsi="方正仿宋_GBK" w:eastAsia="方正仿宋_GBK" w:cs="方正仿宋_GBK"/>
                <w:color w:val="000000"/>
                <w:kern w:val="0"/>
                <w:sz w:val="30"/>
                <w:szCs w:val="30"/>
                <w:highlight w:val="none"/>
                <w:u w:val="none"/>
              </w:rPr>
              <w:t>是否开设专用</w:t>
            </w:r>
            <w:r>
              <w:rPr>
                <w:rFonts w:hint="eastAsia" w:ascii="方正仿宋_GBK" w:hAnsi="方正仿宋_GBK" w:eastAsia="方正仿宋_GBK" w:cs="方正仿宋_GBK"/>
                <w:color w:val="000000"/>
                <w:kern w:val="0"/>
                <w:sz w:val="30"/>
                <w:szCs w:val="30"/>
                <w:highlight w:val="none"/>
                <w:u w:val="none"/>
                <w:lang w:eastAsia="zh-CN"/>
              </w:rPr>
              <w:t>存款</w:t>
            </w:r>
            <w:r>
              <w:rPr>
                <w:rFonts w:hint="eastAsia" w:ascii="方正仿宋_GBK" w:hAnsi="方正仿宋_GBK" w:eastAsia="方正仿宋_GBK" w:cs="方正仿宋_GBK"/>
                <w:color w:val="000000"/>
                <w:kern w:val="0"/>
                <w:sz w:val="30"/>
                <w:szCs w:val="30"/>
                <w:highlight w:val="none"/>
                <w:u w:val="none"/>
              </w:rPr>
              <w:t>账户</w:t>
            </w:r>
            <w:r>
              <w:rPr>
                <w:rFonts w:hint="eastAsia" w:ascii="方正仿宋_GBK" w:hAnsi="方正仿宋_GBK" w:eastAsia="方正仿宋_GBK" w:cs="方正仿宋_GBK"/>
                <w:color w:val="000000"/>
                <w:kern w:val="0"/>
                <w:sz w:val="30"/>
                <w:szCs w:val="30"/>
                <w:highlight w:val="none"/>
                <w:u w:val="none"/>
                <w:lang w:eastAsia="zh-CN"/>
              </w:rPr>
              <w:t>。</w:t>
            </w:r>
          </w:p>
        </w:tc>
        <w:tc>
          <w:tcPr>
            <w:tcW w:w="1781" w:type="pct"/>
            <w:tcBorders>
              <w:top w:val="single" w:color="000000" w:sz="4" w:space="0"/>
              <w:left w:val="single" w:color="000000" w:sz="4" w:space="0"/>
              <w:bottom w:val="single" w:color="000000" w:sz="4" w:space="0"/>
            </w:tcBorders>
            <w:noWrap w:val="0"/>
            <w:vAlign w:val="center"/>
          </w:tcPr>
          <w:p w14:paraId="53BD35B7">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lang w:eastAsia="zh-CN"/>
              </w:rPr>
            </w:pPr>
            <w:r>
              <w:rPr>
                <w:rFonts w:hint="eastAsia" w:ascii="方正仿宋_GBK" w:hAnsi="方正仿宋_GBK" w:eastAsia="方正仿宋_GBK" w:cs="方正仿宋_GBK"/>
                <w:color w:val="000000"/>
                <w:kern w:val="0"/>
                <w:sz w:val="30"/>
                <w:szCs w:val="30"/>
                <w:highlight w:val="none"/>
              </w:rPr>
              <w:t>民政部</w:t>
            </w:r>
            <w:r>
              <w:rPr>
                <w:rFonts w:hint="eastAsia" w:ascii="方正仿宋_GBK" w:hAnsi="方正仿宋_GBK" w:eastAsia="方正仿宋_GBK" w:cs="方正仿宋_GBK"/>
                <w:color w:val="000000"/>
                <w:kern w:val="0"/>
                <w:sz w:val="30"/>
                <w:szCs w:val="30"/>
                <w:highlight w:val="none"/>
                <w:lang w:eastAsia="zh-CN"/>
              </w:rPr>
              <w:t>等</w:t>
            </w:r>
            <w:r>
              <w:rPr>
                <w:rFonts w:hint="eastAsia" w:ascii="方正仿宋_GBK" w:hAnsi="方正仿宋_GBK" w:eastAsia="方正仿宋_GBK" w:cs="方正仿宋_GBK"/>
                <w:color w:val="000000"/>
                <w:kern w:val="0"/>
                <w:sz w:val="30"/>
                <w:szCs w:val="30"/>
                <w:highlight w:val="none"/>
                <w:lang w:val="en-US" w:eastAsia="zh-CN"/>
              </w:rPr>
              <w:t>7部门</w:t>
            </w:r>
            <w:r>
              <w:rPr>
                <w:rFonts w:hint="eastAsia" w:ascii="方正仿宋_GBK" w:hAnsi="方正仿宋_GBK" w:eastAsia="方正仿宋_GBK" w:cs="方正仿宋_GBK"/>
                <w:color w:val="000000"/>
                <w:kern w:val="0"/>
                <w:sz w:val="30"/>
                <w:szCs w:val="30"/>
                <w:highlight w:val="none"/>
              </w:rPr>
              <w:t>《关于加强养老机构预收费监管的指导意见》（民发〔2024〕19号</w:t>
            </w:r>
            <w:r>
              <w:rPr>
                <w:rFonts w:hint="eastAsia" w:ascii="方正仿宋_GBK" w:hAnsi="方正仿宋_GBK" w:eastAsia="方正仿宋_GBK" w:cs="方正仿宋_GBK"/>
                <w:color w:val="000000"/>
                <w:kern w:val="0"/>
                <w:sz w:val="30"/>
                <w:szCs w:val="30"/>
                <w:highlight w:val="none"/>
                <w:lang w:eastAsia="zh-CN"/>
              </w:rPr>
              <w:t>）</w:t>
            </w:r>
          </w:p>
          <w:p w14:paraId="4F00018B">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民政部办公厅 金融监管总局办公厅关于印发《养老机构预收费存管工作指引》的通知（民办发〔2025〕9号）</w:t>
            </w:r>
          </w:p>
        </w:tc>
      </w:tr>
      <w:tr w14:paraId="6EB030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044" w:hRule="atLeast"/>
          <w:jc w:val="center"/>
        </w:trPr>
        <w:tc>
          <w:tcPr>
            <w:tcW w:w="263" w:type="pct"/>
            <w:tcBorders>
              <w:top w:val="single" w:color="000000" w:sz="4" w:space="0"/>
              <w:bottom w:val="single" w:color="000000" w:sz="4" w:space="0"/>
              <w:right w:val="single" w:color="000000" w:sz="4" w:space="0"/>
            </w:tcBorders>
            <w:noWrap w:val="0"/>
            <w:vAlign w:val="center"/>
          </w:tcPr>
          <w:p w14:paraId="175EA385">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2</w:t>
            </w:r>
          </w:p>
        </w:tc>
        <w:tc>
          <w:tcPr>
            <w:tcW w:w="617" w:type="pct"/>
            <w:vMerge w:val="continue"/>
            <w:tcBorders>
              <w:left w:val="single" w:color="000000" w:sz="4" w:space="0"/>
              <w:right w:val="single" w:color="000000" w:sz="4" w:space="0"/>
            </w:tcBorders>
            <w:noWrap w:val="0"/>
            <w:vAlign w:val="center"/>
          </w:tcPr>
          <w:p w14:paraId="4532FEF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default" w:ascii="方正楷体_GBK" w:hAnsi="方正楷体_GBK" w:eastAsia="方正楷体_GBK" w:cs="方正楷体_GBK"/>
                <w:i w:val="0"/>
                <w:iCs w:val="0"/>
                <w:color w:val="000000"/>
                <w:sz w:val="30"/>
                <w:szCs w:val="30"/>
                <w:highlight w:val="none"/>
                <w:u w:val="none"/>
                <w:lang w:val="en-US"/>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4F8686E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color w:val="000000"/>
                <w:kern w:val="0"/>
                <w:sz w:val="30"/>
                <w:szCs w:val="30"/>
                <w:highlight w:val="none"/>
                <w:u w:val="none"/>
                <w:lang w:val="en-US" w:eastAsia="zh-CN"/>
              </w:rPr>
              <w:t>是否制定财务管理制度，运营补贴、建设补贴、政府购买服务等资金管理使用是否合规；公办养老机构资金管理使用是否存在违规情况。</w:t>
            </w:r>
          </w:p>
        </w:tc>
        <w:tc>
          <w:tcPr>
            <w:tcW w:w="1781" w:type="pct"/>
            <w:tcBorders>
              <w:top w:val="single" w:color="000000" w:sz="4" w:space="0"/>
              <w:left w:val="single" w:color="000000" w:sz="4" w:space="0"/>
              <w:bottom w:val="single" w:color="000000" w:sz="4" w:space="0"/>
            </w:tcBorders>
            <w:noWrap w:val="0"/>
            <w:vAlign w:val="center"/>
          </w:tcPr>
          <w:p w14:paraId="5DA44D25">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《国务院办公厅关于建立健全养老服务综合监管制度</w:t>
            </w:r>
            <w:r>
              <w:rPr>
                <w:rFonts w:hint="eastAsia" w:ascii="方正仿宋_GBK" w:hAnsi="方正仿宋_GBK" w:eastAsia="方正仿宋_GBK" w:cs="方正仿宋_GBK"/>
                <w:color w:val="000000"/>
                <w:kern w:val="0"/>
                <w:sz w:val="30"/>
                <w:szCs w:val="30"/>
                <w:highlight w:val="none"/>
                <w:lang w:val="en-US" w:eastAsia="zh-CN"/>
              </w:rPr>
              <w:t xml:space="preserve"> </w:t>
            </w:r>
            <w:r>
              <w:rPr>
                <w:rFonts w:hint="eastAsia" w:ascii="方正仿宋_GBK" w:hAnsi="方正仿宋_GBK" w:eastAsia="方正仿宋_GBK" w:cs="方正仿宋_GBK"/>
                <w:color w:val="000000"/>
                <w:kern w:val="0"/>
                <w:sz w:val="30"/>
                <w:szCs w:val="30"/>
                <w:highlight w:val="none"/>
              </w:rPr>
              <w:t>促进养老服务高质量发展的意见》（国办发〔2020〕48号）</w:t>
            </w:r>
          </w:p>
        </w:tc>
      </w:tr>
      <w:tr w14:paraId="0695C0E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065" w:hRule="atLeast"/>
          <w:jc w:val="center"/>
        </w:trPr>
        <w:tc>
          <w:tcPr>
            <w:tcW w:w="263" w:type="pct"/>
            <w:tcBorders>
              <w:top w:val="single" w:color="000000" w:sz="4" w:space="0"/>
              <w:bottom w:val="single" w:color="000000" w:sz="4" w:space="0"/>
              <w:right w:val="single" w:color="000000" w:sz="4" w:space="0"/>
            </w:tcBorders>
            <w:noWrap w:val="0"/>
            <w:vAlign w:val="center"/>
          </w:tcPr>
          <w:p w14:paraId="61603105">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3</w:t>
            </w:r>
          </w:p>
        </w:tc>
        <w:tc>
          <w:tcPr>
            <w:tcW w:w="617" w:type="pct"/>
            <w:vMerge w:val="continue"/>
            <w:tcBorders>
              <w:left w:val="single" w:color="000000" w:sz="4" w:space="0"/>
              <w:right w:val="single" w:color="000000" w:sz="4" w:space="0"/>
            </w:tcBorders>
            <w:noWrap w:val="0"/>
            <w:vAlign w:val="center"/>
          </w:tcPr>
          <w:p w14:paraId="7380AF73">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default" w:ascii="方正楷体_GBK" w:hAnsi="方正楷体_GBK" w:eastAsia="方正楷体_GBK" w:cs="方正楷体_GBK"/>
                <w:i w:val="0"/>
                <w:iCs w:val="0"/>
                <w:color w:val="000000"/>
                <w:sz w:val="30"/>
                <w:szCs w:val="30"/>
                <w:highlight w:val="none"/>
                <w:u w:val="none"/>
                <w:lang w:val="en-US"/>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75EA2262">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2"/>
                <w:sz w:val="30"/>
                <w:szCs w:val="30"/>
                <w:highlight w:val="none"/>
                <w:u w:val="none"/>
                <w:lang w:val="en-US" w:eastAsia="zh-CN" w:bidi="ar-SA"/>
              </w:rPr>
            </w:pPr>
            <w:r>
              <w:rPr>
                <w:rFonts w:hint="eastAsia" w:ascii="方正仿宋_GBK" w:hAnsi="方正仿宋_GBK" w:eastAsia="方正仿宋_GBK" w:cs="方正仿宋_GBK"/>
                <w:color w:val="000000"/>
                <w:kern w:val="0"/>
                <w:sz w:val="30"/>
                <w:szCs w:val="30"/>
                <w:highlight w:val="none"/>
                <w:u w:val="none"/>
                <w:lang w:val="en-US" w:eastAsia="zh-CN"/>
              </w:rPr>
              <w:t>是否依照其登记类型、经营性质、运营方式、设施设备条件、管理水平、服务质量、照料护理等级等因素确定服务项目的收费标准，并遵守国家和地方政府价格管理有关规定。是否在醒目位置公示各类服务项目收费标准和收费依据，接受社会监督。</w:t>
            </w:r>
          </w:p>
        </w:tc>
        <w:tc>
          <w:tcPr>
            <w:tcW w:w="1781" w:type="pct"/>
            <w:tcBorders>
              <w:top w:val="single" w:color="000000" w:sz="4" w:space="0"/>
              <w:left w:val="single" w:color="000000" w:sz="4" w:space="0"/>
              <w:bottom w:val="single" w:color="000000" w:sz="4" w:space="0"/>
            </w:tcBorders>
            <w:noWrap w:val="0"/>
            <w:vAlign w:val="center"/>
          </w:tcPr>
          <w:p w14:paraId="2656B511">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《养老机构管理办法》（2020年9月1日民政部令第66号）</w:t>
            </w:r>
          </w:p>
        </w:tc>
      </w:tr>
      <w:tr w14:paraId="3B414AA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83" w:hRule="atLeast"/>
          <w:jc w:val="center"/>
        </w:trPr>
        <w:tc>
          <w:tcPr>
            <w:tcW w:w="263" w:type="pct"/>
            <w:tcBorders>
              <w:top w:val="single" w:color="000000" w:sz="4" w:space="0"/>
              <w:bottom w:val="single" w:color="000000" w:sz="4" w:space="0"/>
              <w:right w:val="single" w:color="000000" w:sz="4" w:space="0"/>
            </w:tcBorders>
            <w:noWrap w:val="0"/>
            <w:vAlign w:val="center"/>
          </w:tcPr>
          <w:p w14:paraId="2AA9A1FE">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4</w:t>
            </w:r>
          </w:p>
        </w:tc>
        <w:tc>
          <w:tcPr>
            <w:tcW w:w="617" w:type="pct"/>
            <w:vMerge w:val="continue"/>
            <w:tcBorders>
              <w:left w:val="single" w:color="000000" w:sz="4" w:space="0"/>
              <w:right w:val="single" w:color="000000" w:sz="4" w:space="0"/>
            </w:tcBorders>
            <w:noWrap w:val="0"/>
            <w:vAlign w:val="center"/>
          </w:tcPr>
          <w:p w14:paraId="4DEFF1D1">
            <w:pPr>
              <w:keepNext w:val="0"/>
              <w:keepLines w:val="0"/>
              <w:pageBreakBefore w:val="0"/>
              <w:widowControl/>
              <w:kinsoku/>
              <w:wordWrap/>
              <w:overflowPunct/>
              <w:topLinePunct w:val="0"/>
              <w:autoSpaceDE/>
              <w:autoSpaceDN/>
              <w:bidi w:val="0"/>
              <w:adjustRightInd/>
              <w:snapToGrid/>
              <w:spacing w:line="480" w:lineRule="exact"/>
              <w:ind w:firstLine="0" w:firstLineChars="0"/>
              <w:jc w:val="left"/>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000000" w:sz="4" w:space="0"/>
              <w:left w:val="single" w:color="000000" w:sz="4" w:space="0"/>
              <w:bottom w:val="single" w:color="000000" w:sz="4" w:space="0"/>
              <w:right w:val="single" w:color="000000" w:sz="4" w:space="0"/>
            </w:tcBorders>
            <w:noWrap w:val="0"/>
            <w:vAlign w:val="center"/>
          </w:tcPr>
          <w:p w14:paraId="7173BA4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color w:val="000000"/>
                <w:kern w:val="0"/>
                <w:sz w:val="30"/>
                <w:szCs w:val="30"/>
                <w:highlight w:val="none"/>
                <w:u w:val="none"/>
                <w:lang w:val="en-US" w:eastAsia="zh-CN" w:bidi="ar-SA"/>
              </w:rPr>
            </w:pPr>
            <w: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t>★</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lang w:val="en-US" w:eastAsia="zh-CN"/>
              </w:rPr>
              <w:t>是否</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rPr>
              <w:t>以承诺还本付息、给予其他投资回报等方式，诱导老年人或其代理人</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auto" w:fill="FFFFFF"/>
              </w:rPr>
              <w:t>交纳</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auto" w:fill="auto"/>
              </w:rPr>
              <w:t>预</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rPr>
              <w:t>收费</w:t>
            </w:r>
            <w:r>
              <w:rPr>
                <w:rFonts w:hint="eastAsia" w:ascii="方正仿宋_GBK" w:hAnsi="方正仿宋_GBK" w:eastAsia="方正仿宋_GBK" w:cs="方正仿宋_GBK"/>
                <w:i w:val="0"/>
                <w:iCs w:val="0"/>
                <w:caps w:val="0"/>
                <w:color w:val="000000"/>
                <w:spacing w:val="0"/>
                <w:kern w:val="0"/>
                <w:sz w:val="30"/>
                <w:szCs w:val="30"/>
                <w:highlight w:val="none"/>
                <w:u w:val="none"/>
                <w:shd w:val="clear" w:color="0A0000" w:fill="auto"/>
                <w:lang w:eastAsia="zh-CN"/>
              </w:rPr>
              <w:t>。</w:t>
            </w:r>
          </w:p>
        </w:tc>
        <w:tc>
          <w:tcPr>
            <w:tcW w:w="1781" w:type="pct"/>
            <w:tcBorders>
              <w:top w:val="single" w:color="000000" w:sz="4" w:space="0"/>
              <w:left w:val="single" w:color="000000" w:sz="4" w:space="0"/>
              <w:bottom w:val="single" w:color="000000" w:sz="4" w:space="0"/>
            </w:tcBorders>
            <w:noWrap w:val="0"/>
            <w:vAlign w:val="center"/>
          </w:tcPr>
          <w:p w14:paraId="402C08BD">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民政部</w:t>
            </w:r>
            <w:r>
              <w:rPr>
                <w:rFonts w:hint="eastAsia" w:ascii="方正仿宋_GBK" w:hAnsi="方正仿宋_GBK" w:eastAsia="方正仿宋_GBK" w:cs="方正仿宋_GBK"/>
                <w:color w:val="000000"/>
                <w:kern w:val="0"/>
                <w:sz w:val="30"/>
                <w:szCs w:val="30"/>
                <w:highlight w:val="none"/>
                <w:lang w:eastAsia="zh-CN"/>
              </w:rPr>
              <w:t>等</w:t>
            </w:r>
            <w:r>
              <w:rPr>
                <w:rFonts w:hint="eastAsia" w:ascii="方正仿宋_GBK" w:hAnsi="方正仿宋_GBK" w:eastAsia="方正仿宋_GBK" w:cs="方正仿宋_GBK"/>
                <w:color w:val="000000"/>
                <w:kern w:val="0"/>
                <w:sz w:val="30"/>
                <w:szCs w:val="30"/>
                <w:highlight w:val="none"/>
                <w:lang w:val="en-US" w:eastAsia="zh-CN"/>
              </w:rPr>
              <w:t>7部门</w:t>
            </w:r>
            <w:r>
              <w:rPr>
                <w:rFonts w:hint="eastAsia" w:ascii="方正仿宋_GBK" w:hAnsi="方正仿宋_GBK" w:eastAsia="方正仿宋_GBK" w:cs="方正仿宋_GBK"/>
                <w:color w:val="000000"/>
                <w:kern w:val="0"/>
                <w:sz w:val="30"/>
                <w:szCs w:val="30"/>
                <w:highlight w:val="none"/>
              </w:rPr>
              <w:t>《关于加强养老机构预收费监管的指导意见》（民发〔2024〕19号）</w:t>
            </w:r>
          </w:p>
        </w:tc>
      </w:tr>
      <w:tr w14:paraId="6D69B7F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707" w:hRule="atLeast"/>
          <w:jc w:val="center"/>
        </w:trPr>
        <w:tc>
          <w:tcPr>
            <w:tcW w:w="263" w:type="pct"/>
            <w:tcBorders>
              <w:top w:val="single" w:color="000000" w:sz="4" w:space="0"/>
              <w:right w:val="single" w:color="000000" w:sz="4" w:space="0"/>
            </w:tcBorders>
            <w:noWrap w:val="0"/>
            <w:vAlign w:val="center"/>
          </w:tcPr>
          <w:p w14:paraId="6C4F9768">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firstLine="0" w:firstLineChars="0"/>
              <w:jc w:val="center"/>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rPr>
            </w:pPr>
            <w:r>
              <w:rPr>
                <w:rFonts w:hint="eastAsia" w:ascii="方正仿宋_GBK" w:hAnsi="方正仿宋_GBK" w:eastAsia="方正仿宋_GBK" w:cs="方正仿宋_GBK"/>
                <w:i w:val="0"/>
                <w:iCs w:val="0"/>
                <w:color w:val="000000"/>
                <w:kern w:val="0"/>
                <w:sz w:val="30"/>
                <w:szCs w:val="30"/>
                <w:highlight w:val="none"/>
                <w:u w:val="none"/>
                <w:lang w:val="en-US" w:eastAsia="zh-CN"/>
              </w:rPr>
              <w:t>5</w:t>
            </w:r>
          </w:p>
        </w:tc>
        <w:tc>
          <w:tcPr>
            <w:tcW w:w="617" w:type="pct"/>
            <w:vMerge w:val="continue"/>
            <w:tcBorders>
              <w:left w:val="single" w:color="000000" w:sz="4" w:space="0"/>
              <w:right w:val="single" w:color="000000" w:sz="4" w:space="0"/>
            </w:tcBorders>
            <w:noWrap w:val="0"/>
            <w:vAlign w:val="center"/>
          </w:tcPr>
          <w:p w14:paraId="02ECE10E">
            <w:pPr>
              <w:keepNext w:val="0"/>
              <w:keepLines w:val="0"/>
              <w:pageBreakBefore w:val="0"/>
              <w:widowControl/>
              <w:kinsoku/>
              <w:wordWrap/>
              <w:overflowPunct/>
              <w:topLinePunct w:val="0"/>
              <w:autoSpaceDE/>
              <w:autoSpaceDN/>
              <w:bidi w:val="0"/>
              <w:adjustRightInd/>
              <w:snapToGrid/>
              <w:spacing w:line="480" w:lineRule="exact"/>
              <w:ind w:firstLine="0" w:firstLineChars="0"/>
              <w:jc w:val="left"/>
              <w:rPr>
                <w:rFonts w:hint="eastAsia" w:ascii="方正楷体_GBK" w:hAnsi="方正楷体_GBK" w:eastAsia="方正楷体_GBK" w:cs="方正楷体_GBK"/>
                <w:i w:val="0"/>
                <w:iCs w:val="0"/>
                <w:color w:val="000000"/>
                <w:sz w:val="30"/>
                <w:szCs w:val="30"/>
                <w:highlight w:val="none"/>
                <w:u w:val="none"/>
              </w:rPr>
            </w:pPr>
          </w:p>
        </w:tc>
        <w:tc>
          <w:tcPr>
            <w:tcW w:w="2337" w:type="pct"/>
            <w:tcBorders>
              <w:top w:val="single" w:color="000000" w:sz="4" w:space="0"/>
              <w:left w:val="single" w:color="000000" w:sz="4" w:space="0"/>
              <w:right w:val="single" w:color="000000" w:sz="4" w:space="0"/>
            </w:tcBorders>
            <w:noWrap w:val="0"/>
            <w:vAlign w:val="center"/>
          </w:tcPr>
          <w:p w14:paraId="4CDA4EB4">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方正仿宋_GBK" w:hAnsi="方正仿宋_GBK" w:eastAsia="方正仿宋_GBK" w:cs="方正仿宋_GBK"/>
                <w:i w:val="0"/>
                <w:iCs w:val="0"/>
                <w:color w:val="000000"/>
                <w:kern w:val="0"/>
                <w:sz w:val="30"/>
                <w:szCs w:val="30"/>
                <w:highlight w:val="none"/>
                <w:u w:val="none"/>
                <w:lang w:val="en-US" w:eastAsia="zh-CN" w:bidi="ar-SA"/>
              </w:rPr>
            </w:pPr>
            <w:r>
              <w:rPr>
                <w:rFonts w:hint="eastAsia" w:ascii="方正仿宋_GBK" w:hAnsi="方正仿宋_GBK" w:eastAsia="方正仿宋_GBK" w:cs="方正仿宋_GBK"/>
                <w:i w:val="0"/>
                <w:iCs w:val="0"/>
                <w:color w:val="000000"/>
                <w:kern w:val="0"/>
                <w:sz w:val="30"/>
                <w:szCs w:val="30"/>
                <w:highlight w:val="none"/>
                <w:u w:val="none"/>
                <w:lang w:val="en-US" w:eastAsia="zh-CN"/>
              </w:rPr>
              <w:t>申领和使用奖补贴资金、项目资金等是否符合有关规定，是否存在虚报冒领、骗取套取、违规使用等问题。</w:t>
            </w:r>
          </w:p>
        </w:tc>
        <w:tc>
          <w:tcPr>
            <w:tcW w:w="1781" w:type="pct"/>
            <w:tcBorders>
              <w:top w:val="single" w:color="000000" w:sz="4" w:space="0"/>
              <w:left w:val="single" w:color="000000" w:sz="4" w:space="0"/>
            </w:tcBorders>
            <w:noWrap w:val="0"/>
            <w:vAlign w:val="center"/>
          </w:tcPr>
          <w:p w14:paraId="177D6268">
            <w:pPr>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center"/>
              <w:rPr>
                <w:rFonts w:hint="eastAsia" w:ascii="汉仪叶叶相思体简" w:hAnsi="汉仪叶叶相思体简" w:eastAsia="汉仪叶叶相思体简" w:cs="汉仪叶叶相思体简"/>
                <w:i w:val="0"/>
                <w:iCs w:val="0"/>
                <w:color w:val="000000"/>
                <w:kern w:val="0"/>
                <w:sz w:val="30"/>
                <w:szCs w:val="30"/>
                <w:highlight w:val="none"/>
                <w:u w:val="none"/>
                <w:lang w:val="en-US" w:eastAsia="zh-CN"/>
              </w:rPr>
            </w:pPr>
            <w:r>
              <w:rPr>
                <w:rFonts w:hint="eastAsia" w:ascii="方正仿宋_GBK" w:hAnsi="方正仿宋_GBK" w:eastAsia="方正仿宋_GBK" w:cs="方正仿宋_GBK"/>
                <w:color w:val="000000"/>
                <w:kern w:val="0"/>
                <w:sz w:val="30"/>
                <w:szCs w:val="30"/>
                <w:highlight w:val="none"/>
              </w:rPr>
              <w:t>《国务院办公厅关于建立健全养老服务综合监管制度</w:t>
            </w:r>
            <w:r>
              <w:rPr>
                <w:rFonts w:hint="eastAsia" w:ascii="方正仿宋_GBK" w:hAnsi="方正仿宋_GBK" w:eastAsia="方正仿宋_GBK" w:cs="方正仿宋_GBK"/>
                <w:color w:val="000000"/>
                <w:kern w:val="0"/>
                <w:sz w:val="30"/>
                <w:szCs w:val="30"/>
                <w:highlight w:val="none"/>
                <w:lang w:val="en-US" w:eastAsia="zh-CN"/>
              </w:rPr>
              <w:t xml:space="preserve"> </w:t>
            </w:r>
            <w:r>
              <w:rPr>
                <w:rFonts w:hint="eastAsia" w:ascii="方正仿宋_GBK" w:hAnsi="方正仿宋_GBK" w:eastAsia="方正仿宋_GBK" w:cs="方正仿宋_GBK"/>
                <w:color w:val="000000"/>
                <w:kern w:val="0"/>
                <w:sz w:val="30"/>
                <w:szCs w:val="30"/>
                <w:highlight w:val="none"/>
              </w:rPr>
              <w:t>促进养老服务高质量发展的意见》（国办发〔2020〕48号）</w:t>
            </w:r>
          </w:p>
        </w:tc>
      </w:tr>
      <mc:AlternateContent>
        <mc:Choice Requires="wpsCustomData">
          <wpsCustomData:docfieldEnd id="0"/>
        </mc:Choice>
      </mc:AlternateContent>
    </w:tbl>
    <w:p w14:paraId="73765954">
      <w:pPr>
        <w:keepNext w:val="0"/>
        <w:keepLines w:val="0"/>
        <w:pageBreakBefore w:val="0"/>
        <w:widowControl w:val="0"/>
        <w:tabs>
          <w:tab w:val="left" w:pos="220"/>
          <w:tab w:val="left" w:pos="8400"/>
        </w:tabs>
        <w:kinsoku/>
        <w:wordWrap/>
        <w:overflowPunct/>
        <w:topLinePunct w:val="0"/>
        <w:autoSpaceDE/>
        <w:autoSpaceDN/>
        <w:bidi w:val="0"/>
        <w:adjustRightInd/>
        <w:snapToGrid/>
        <w:spacing w:line="600" w:lineRule="exact"/>
        <w:ind w:right="210" w:rightChars="100"/>
        <w:textAlignment w:val="auto"/>
        <w:rPr>
          <w:rFonts w:hint="default" w:ascii="仿宋_GB2312" w:hAnsi="仿宋_GB2312" w:eastAsia="仿宋_GB2312" w:cs="仿宋_GB2312"/>
          <w:sz w:val="28"/>
          <w:szCs w:val="28"/>
          <w:lang w:val="en-US" w:eastAsia="zh-CN"/>
        </w:rPr>
      </w:pPr>
      <mc:AlternateContent>
        <mc:Choice Requires="wpsCustomData">
          <wpsCustomData:docfieldStart id="1" docfieldname="二维码" hidden="0" print="1" readonly="0" index="9"/>
        </mc:Choice>
      </mc:AlternateContent>
      <mc:AlternateContent>
        <mc:Choice Requires="wpsCustomData">
          <wpsCustomData:docfieldEnd id="1"/>
        </mc:Choice>
      </mc:AlternateContent>
      <w:bookmarkStart w:id="0" w:name="二维码"/>
      <w:bookmarkEnd w:id="0"/>
    </w:p>
    <w:sectPr>
      <w:footerReference r:id="rId4" w:type="default"/>
      <w:pgSz w:w="16838" w:h="11906" w:orient="landscape"/>
      <w:pgMar w:top="1531" w:right="2098" w:bottom="1531" w:left="1559" w:header="992" w:footer="1474"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汉仪叶叶相思体简">
    <w:altName w:val="宋体"/>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0D9C3">
    <w:pPr>
      <w:widowControl w:val="0"/>
      <w:overflowPunct w:val="0"/>
      <w:snapToGrid w:val="0"/>
      <w:spacing w:line="560" w:lineRule="exact"/>
      <w:ind w:firstLine="360" w:firstLineChars="200"/>
      <w:jc w:val="left"/>
      <w:rPr>
        <w:rFonts w:ascii="方正仿宋_GBK" w:hAnsi="方正仿宋_GBK" w:eastAsia="方正仿宋_GBK" w:cs="方正仿宋_GBK"/>
        <w:kern w:val="2"/>
        <w:sz w:val="18"/>
        <w:szCs w:val="32"/>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6"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D588A8"/>
                      </w:txbxContent>
                    </wps:txbx>
                    <wps:bodyPr wrap="square" upright="1"/>
                  </wps:wsp>
                </a:graphicData>
              </a:graphic>
            </wp:anchor>
          </w:drawing>
        </mc:Choice>
        <mc:Fallback>
          <w:pict>
            <v:shape id="文本框 10" o:spid="_x0000_s1026" o:spt="202" type="#_x0000_t202" style="position:absolute;left:0pt;margin-left:0pt;margin-top:0pt;height:144pt;width:144pt;z-index:251659264;mso-width-relative:page;mso-height-relative:page;" filled="f" stroked="f" coordsize="21600,21600" o:gfxdata="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DQZtsbQAAAABQEA&#10;AA8AAAAAAAAAAQAgAAAAIgAAAGRycy9kb3ducmV2LnhtbFBLAQIUABQAAAAIAIdO4kA/EAuGsAEA&#10;AF4DAAAOAAAAAAAAAAEAIAAAAB8BAABkcnMvZTJvRG9jLnhtbFBLBQYAAAAABgAGAFkBAABBBQAA&#10;AAA=&#10;">
              <v:fill on="f" focussize="0,0"/>
              <v:stroke on="f"/>
              <v:imagedata o:title=""/>
              <o:lock v:ext="edit" aspectratio="f"/>
              <v:textbox>
                <w:txbxContent>
                  <w:p w14:paraId="74D588A8"/>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A1159">
    <w:pPr>
      <w:widowControl w:val="0"/>
      <w:overflowPunct w:val="0"/>
      <w:snapToGrid w:val="0"/>
      <w:spacing w:line="560" w:lineRule="exact"/>
      <w:ind w:firstLine="360" w:firstLineChars="200"/>
      <w:jc w:val="left"/>
      <w:rPr>
        <w:rFonts w:ascii="方正仿宋_GBK" w:hAnsi="方正仿宋_GBK" w:eastAsia="方正仿宋_GBK" w:cs="方正仿宋_GBK"/>
        <w:kern w:val="2"/>
        <w:sz w:val="18"/>
        <w:szCs w:val="32"/>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8"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DADC0D"/>
                      </w:txbxContent>
                    </wps:txbx>
                    <wps:bodyPr wrap="square" upright="1"/>
                  </wps:wsp>
                </a:graphicData>
              </a:graphic>
            </wp:anchor>
          </w:drawing>
        </mc:Choice>
        <mc:Fallback>
          <w:pict>
            <v:shape id="文本框 12" o:spid="_x0000_s1026" o:spt="202" type="#_x0000_t202" style="position:absolute;left:0pt;margin-left:0pt;margin-top:0pt;height:144pt;width:144pt;z-index:251661312;mso-width-relative:page;mso-height-relative:page;" filled="f" stroked="f" coordsize="21600,21600" o:gfxdata="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0GbbG0AAAAAUB&#10;AAAPAAAAAAAAAAEAIAAAACIAAABkcnMvZG93bnJldi54bWxQSwECFAAUAAAACACHTuJAQYT/FLEB&#10;AABeAwAADgAAAAAAAAABACAAAAAfAQAAZHJzL2Uyb0RvYy54bWxQSwUGAAAAAAYABgBZAQAAQgUA&#10;AAAA&#10;">
              <v:fill on="f" focussize="0,0"/>
              <v:stroke on="f"/>
              <v:imagedata o:title=""/>
              <o:lock v:ext="edit" aspectratio="f"/>
              <v:textbox>
                <w:txbxContent>
                  <w:p w14:paraId="2CDADC0D"/>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7"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79F6C7"/>
                      </w:txbxContent>
                    </wps:txbx>
                    <wps:bodyPr wrap="square" upright="1"/>
                  </wps:wsp>
                </a:graphicData>
              </a:graphic>
            </wp:anchor>
          </w:drawing>
        </mc:Choice>
        <mc:Fallback>
          <w:pict>
            <v:shape id="文本框 13" o:spid="_x0000_s1026" o:spt="202" type="#_x0000_t202" style="position:absolute;left:0pt;margin-left:0pt;margin-top:0pt;height:144pt;width:144pt;z-index:251660288;mso-width-relative:page;mso-height-relative:page;" filled="f" stroked="f" coordsize="21600,21600" o:gfxdata="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NBm2xtAAAAAF&#10;AQAADwAAAAAAAAABACAAAAAiAAAAZHJzL2Rvd25yZXYueG1sUEsBAhQAFAAAAAgAh07iQM1zR6Wy&#10;AQAAXgMAAA4AAAAAAAAAAQAgAAAAHwEAAGRycy9lMm9Eb2MueG1sUEsFBgAAAAAGAAYAWQEAAEMF&#10;AAAAAA==&#10;">
              <v:fill on="f" focussize="0,0"/>
              <v:stroke on="f"/>
              <v:imagedata o:title=""/>
              <o:lock v:ext="edit" aspectratio="f"/>
              <v:textbox>
                <w:txbxContent>
                  <w:p w14:paraId="4A79F6C7"/>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FCB62"/>
    <w:rsid w:val="07AFC4D3"/>
    <w:rsid w:val="0EFE32F8"/>
    <w:rsid w:val="0F0729FA"/>
    <w:rsid w:val="0FFA110C"/>
    <w:rsid w:val="1BFFFD0C"/>
    <w:rsid w:val="1DD485EF"/>
    <w:rsid w:val="1FF7BFBF"/>
    <w:rsid w:val="1FFBD7F9"/>
    <w:rsid w:val="27EDA021"/>
    <w:rsid w:val="2C51221F"/>
    <w:rsid w:val="2DFA92E3"/>
    <w:rsid w:val="2DFF2FD1"/>
    <w:rsid w:val="2E6F3DC6"/>
    <w:rsid w:val="2F4FC435"/>
    <w:rsid w:val="317F2110"/>
    <w:rsid w:val="36EED5DC"/>
    <w:rsid w:val="36F7BC9B"/>
    <w:rsid w:val="37EEA56C"/>
    <w:rsid w:val="395798C5"/>
    <w:rsid w:val="39AFEFC1"/>
    <w:rsid w:val="3BE25538"/>
    <w:rsid w:val="3EAB0813"/>
    <w:rsid w:val="3F7F73BB"/>
    <w:rsid w:val="4AB949F8"/>
    <w:rsid w:val="4EE9FBD2"/>
    <w:rsid w:val="4F5BD864"/>
    <w:rsid w:val="53F5CD24"/>
    <w:rsid w:val="56FFEADF"/>
    <w:rsid w:val="57FFB8CE"/>
    <w:rsid w:val="5BC8791C"/>
    <w:rsid w:val="5DBA5598"/>
    <w:rsid w:val="5E577529"/>
    <w:rsid w:val="5FBB67C3"/>
    <w:rsid w:val="66DD67CE"/>
    <w:rsid w:val="675BA4CA"/>
    <w:rsid w:val="67DF189B"/>
    <w:rsid w:val="6F7DB34E"/>
    <w:rsid w:val="6FCFC02E"/>
    <w:rsid w:val="6FD13271"/>
    <w:rsid w:val="6FFFAA25"/>
    <w:rsid w:val="709A70A6"/>
    <w:rsid w:val="74FFF612"/>
    <w:rsid w:val="75BBA3EF"/>
    <w:rsid w:val="76750C20"/>
    <w:rsid w:val="77B3ED92"/>
    <w:rsid w:val="77B5B093"/>
    <w:rsid w:val="77EED577"/>
    <w:rsid w:val="78D4C685"/>
    <w:rsid w:val="7995CC1E"/>
    <w:rsid w:val="7A7FDF2F"/>
    <w:rsid w:val="7A97E7E6"/>
    <w:rsid w:val="7AD67E45"/>
    <w:rsid w:val="7AEF3571"/>
    <w:rsid w:val="7DBD2802"/>
    <w:rsid w:val="7DE8AD02"/>
    <w:rsid w:val="7DF69D0B"/>
    <w:rsid w:val="7E745329"/>
    <w:rsid w:val="7EEF6D73"/>
    <w:rsid w:val="7EF61262"/>
    <w:rsid w:val="7EF7AC98"/>
    <w:rsid w:val="7F39985E"/>
    <w:rsid w:val="7F3F8F06"/>
    <w:rsid w:val="7F5FF59E"/>
    <w:rsid w:val="7F875C1E"/>
    <w:rsid w:val="7F9EC295"/>
    <w:rsid w:val="7FBF8992"/>
    <w:rsid w:val="7FE77034"/>
    <w:rsid w:val="7FEF8D7C"/>
    <w:rsid w:val="7FFDD7D1"/>
    <w:rsid w:val="7FFF0970"/>
    <w:rsid w:val="83BF0893"/>
    <w:rsid w:val="8DFD8FD2"/>
    <w:rsid w:val="99F92BA3"/>
    <w:rsid w:val="9FD7EE42"/>
    <w:rsid w:val="A7F7914A"/>
    <w:rsid w:val="AFB96FEB"/>
    <w:rsid w:val="B4FEC851"/>
    <w:rsid w:val="B5DE7955"/>
    <w:rsid w:val="BE6DF439"/>
    <w:rsid w:val="BEFD911D"/>
    <w:rsid w:val="BFB61172"/>
    <w:rsid w:val="BFD56539"/>
    <w:rsid w:val="BFE9C5CE"/>
    <w:rsid w:val="BFFECE51"/>
    <w:rsid w:val="BFFF8C59"/>
    <w:rsid w:val="C73E5EBE"/>
    <w:rsid w:val="C7FD8CA6"/>
    <w:rsid w:val="D5FF7B11"/>
    <w:rsid w:val="D76BFCE7"/>
    <w:rsid w:val="DF2B356F"/>
    <w:rsid w:val="DF33368B"/>
    <w:rsid w:val="DFBEDBEB"/>
    <w:rsid w:val="DFCFBC78"/>
    <w:rsid w:val="DFFF4D12"/>
    <w:rsid w:val="DFFFD7BB"/>
    <w:rsid w:val="ED7D5869"/>
    <w:rsid w:val="EE5E1D09"/>
    <w:rsid w:val="EE9D1C36"/>
    <w:rsid w:val="EEFFBC77"/>
    <w:rsid w:val="EF1E121A"/>
    <w:rsid w:val="EFBB05E5"/>
    <w:rsid w:val="EFFDE453"/>
    <w:rsid w:val="F35D4748"/>
    <w:rsid w:val="F3E83FB1"/>
    <w:rsid w:val="F3FD1414"/>
    <w:rsid w:val="F692470F"/>
    <w:rsid w:val="F6FC2DAA"/>
    <w:rsid w:val="F6FF6AE7"/>
    <w:rsid w:val="F7EF1DAD"/>
    <w:rsid w:val="FB3F42A7"/>
    <w:rsid w:val="FCDFED07"/>
    <w:rsid w:val="FCF7E8CA"/>
    <w:rsid w:val="FD7FDFC8"/>
    <w:rsid w:val="FDBA2090"/>
    <w:rsid w:val="FDBD4292"/>
    <w:rsid w:val="FEE2F981"/>
    <w:rsid w:val="FEEF07FC"/>
    <w:rsid w:val="FF758D6C"/>
    <w:rsid w:val="FF760F33"/>
    <w:rsid w:val="FFBFC15A"/>
    <w:rsid w:val="FFC5A281"/>
    <w:rsid w:val="FFCBEA33"/>
    <w:rsid w:val="FFDD04E8"/>
    <w:rsid w:val="FFDF4884"/>
    <w:rsid w:val="FFDFB8D1"/>
    <w:rsid w:val="FFFB5AE2"/>
    <w:rsid w:val="FFFBD7D8"/>
    <w:rsid w:val="FFFF7B07"/>
    <w:rsid w:val="FFFFF8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9"/>
    <w:pPr>
      <w:keepNext/>
      <w:keepLines/>
      <w:spacing w:beforeLines="0" w:beforeAutospacing="0" w:afterLines="0" w:afterAutospacing="0" w:line="700" w:lineRule="exact"/>
      <w:jc w:val="center"/>
      <w:outlineLvl w:val="0"/>
    </w:pPr>
    <w:rPr>
      <w:rFonts w:ascii="Times New Roman" w:hAnsi="Times New Roman" w:eastAsia="方正小标宋简体" w:cs="方正小标宋简体"/>
      <w:kern w:val="44"/>
      <w:sz w:val="44"/>
      <w:szCs w:val="44"/>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toc 3"/>
    <w:next w:val="1"/>
    <w:qFormat/>
    <w:uiPriority w:val="0"/>
    <w:pPr>
      <w:widowControl w:val="0"/>
      <w:overflowPunct w:val="0"/>
      <w:spacing w:line="560" w:lineRule="exact"/>
      <w:ind w:left="420" w:firstLine="561" w:firstLineChars="200"/>
      <w:jc w:val="both"/>
    </w:pPr>
    <w:rPr>
      <w:rFonts w:ascii="等线" w:hAnsi="等线" w:eastAsia="等线" w:cs="方正仿宋_GBK"/>
      <w:b/>
      <w:kern w:val="2"/>
      <w:sz w:val="30"/>
      <w:szCs w:val="30"/>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qFormat/>
    <w:uiPriority w:val="0"/>
  </w:style>
  <w:style w:type="paragraph" w:customStyle="1" w:styleId="10">
    <w:name w:val="Char Char Char Char Char Char Char"/>
    <w:basedOn w:val="1"/>
    <w:qFormat/>
    <w:uiPriority w:val="0"/>
    <w:rPr>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395</Words>
  <Characters>425</Characters>
  <Lines>0</Lines>
  <Paragraphs>0</Paragraphs>
  <TotalTime>49</TotalTime>
  <ScaleCrop>false</ScaleCrop>
  <LinksUpToDate>false</LinksUpToDate>
  <CharactersWithSpaces>425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安如少年初如梦</cp:lastModifiedBy>
  <cp:lastPrinted>2026-10-14T11:15:00Z</cp:lastPrinted>
  <dcterms:modified xsi:type="dcterms:W3CDTF">2026-10-20T01:40:34Z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6A7BF76269D44DB099EFEC1DBBE3A91A_13</vt:lpwstr>
  </property>
  <property fmtid="{D5CDD505-2E9C-101B-9397-08002B2CF9AE}" pid="4" name="KSOTemplateDocerSaveRecord">
    <vt:lpwstr>eyJoZGlkIjoiMjIxODYzYTM4MGNkNDVhMTIxNTQ4OTc3ZWFmOTAzNDAiLCJ1c2VySWQiOiIyMDMzMzM2OTUifQ==</vt:lpwstr>
  </property>
</Properties>
</file>