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28"/>
          <w:szCs w:val="28"/>
          <w:lang w:eastAsia="zh-CN"/>
        </w:rPr>
      </w:pPr>
    </w:p>
    <w:p>
      <w:pPr>
        <w:jc w:val="center"/>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济源产城融合示范区</w:t>
      </w:r>
    </w:p>
    <w:p>
      <w:pPr>
        <w:jc w:val="center"/>
        <w:rPr>
          <w:rFonts w:hint="eastAsia" w:ascii="微软雅黑" w:hAnsi="微软雅黑" w:eastAsia="微软雅黑" w:cs="微软雅黑"/>
          <w:sz w:val="36"/>
          <w:szCs w:val="36"/>
          <w:lang w:eastAsia="zh-CN"/>
        </w:rPr>
      </w:pPr>
      <w:r>
        <w:rPr>
          <w:rFonts w:hint="eastAsia" w:ascii="微软雅黑" w:hAnsi="微软雅黑" w:eastAsia="微软雅黑" w:cs="微软雅黑"/>
          <w:sz w:val="36"/>
          <w:szCs w:val="36"/>
          <w:lang w:eastAsia="zh-CN"/>
        </w:rPr>
        <w:t>养老机构等级</w:t>
      </w:r>
      <w:r>
        <w:rPr>
          <w:rFonts w:hint="eastAsia" w:ascii="微软雅黑" w:hAnsi="微软雅黑" w:eastAsia="微软雅黑" w:cs="微软雅黑"/>
          <w:sz w:val="36"/>
          <w:szCs w:val="36"/>
          <w:lang w:val="en-US" w:eastAsia="zh-CN"/>
        </w:rPr>
        <w:t>划分与</w:t>
      </w:r>
      <w:r>
        <w:rPr>
          <w:rFonts w:hint="eastAsia" w:ascii="微软雅黑" w:hAnsi="微软雅黑" w:eastAsia="微软雅黑" w:cs="微软雅黑"/>
          <w:sz w:val="36"/>
          <w:szCs w:val="36"/>
          <w:lang w:eastAsia="zh-CN"/>
        </w:rPr>
        <w:t>评定</w:t>
      </w:r>
    </w:p>
    <w:p>
      <w:pPr>
        <w:jc w:val="center"/>
        <w:rPr>
          <w:rFonts w:hint="eastAsia" w:ascii="微软雅黑" w:hAnsi="微软雅黑" w:eastAsia="微软雅黑" w:cs="微软雅黑"/>
          <w:sz w:val="28"/>
          <w:szCs w:val="28"/>
          <w:lang w:eastAsia="zh-CN"/>
        </w:rPr>
      </w:pPr>
    </w:p>
    <w:p>
      <w:pPr>
        <w:jc w:val="center"/>
        <w:rPr>
          <w:rFonts w:hint="eastAsia" w:ascii="微软雅黑" w:hAnsi="微软雅黑" w:eastAsia="微软雅黑" w:cs="微软雅黑"/>
          <w:sz w:val="28"/>
          <w:szCs w:val="28"/>
          <w:lang w:eastAsia="zh-CN"/>
        </w:rPr>
      </w:pPr>
    </w:p>
    <w:p>
      <w:pPr>
        <w:rPr>
          <w:rFonts w:hint="eastAsia"/>
          <w:lang w:eastAsia="zh-CN"/>
        </w:rPr>
      </w:pPr>
    </w:p>
    <w:p>
      <w:pPr>
        <w:rPr>
          <w:rFonts w:hint="eastAsia"/>
          <w:lang w:eastAsia="zh-CN"/>
        </w:rPr>
      </w:pPr>
    </w:p>
    <w:p>
      <w:pPr>
        <w:jc w:val="center"/>
        <w:rPr>
          <w:rFonts w:hint="eastAsia" w:ascii="黑体" w:hAnsi="黑体" w:eastAsia="黑体" w:cs="黑体"/>
          <w:b/>
          <w:bCs/>
          <w:sz w:val="96"/>
          <w:szCs w:val="96"/>
          <w:lang w:eastAsia="zh-CN"/>
        </w:rPr>
      </w:pPr>
      <w:r>
        <w:rPr>
          <w:rFonts w:hint="eastAsia" w:ascii="黑体" w:hAnsi="黑体" w:eastAsia="黑体" w:cs="黑体"/>
          <w:b/>
          <w:bCs/>
          <w:sz w:val="96"/>
          <w:szCs w:val="96"/>
          <w:lang w:eastAsia="zh-CN"/>
        </w:rPr>
        <w:t>综</w:t>
      </w:r>
    </w:p>
    <w:p>
      <w:pPr>
        <w:jc w:val="center"/>
        <w:rPr>
          <w:rFonts w:hint="eastAsia" w:ascii="黑体" w:hAnsi="黑体" w:eastAsia="黑体" w:cs="黑体"/>
          <w:b/>
          <w:bCs/>
          <w:sz w:val="96"/>
          <w:szCs w:val="96"/>
          <w:lang w:eastAsia="zh-CN"/>
        </w:rPr>
      </w:pPr>
      <w:r>
        <w:rPr>
          <w:rFonts w:hint="eastAsia" w:ascii="黑体" w:hAnsi="黑体" w:eastAsia="黑体" w:cs="黑体"/>
          <w:b/>
          <w:bCs/>
          <w:sz w:val="96"/>
          <w:szCs w:val="96"/>
          <w:lang w:eastAsia="zh-CN"/>
        </w:rPr>
        <w:t>合</w:t>
      </w:r>
    </w:p>
    <w:p>
      <w:pPr>
        <w:jc w:val="center"/>
        <w:rPr>
          <w:rFonts w:hint="eastAsia" w:ascii="黑体" w:hAnsi="黑体" w:eastAsia="黑体" w:cs="黑体"/>
          <w:b/>
          <w:bCs/>
          <w:sz w:val="96"/>
          <w:szCs w:val="96"/>
          <w:lang w:eastAsia="zh-CN"/>
        </w:rPr>
      </w:pPr>
      <w:r>
        <w:rPr>
          <w:rFonts w:hint="eastAsia" w:ascii="黑体" w:hAnsi="黑体" w:eastAsia="黑体" w:cs="黑体"/>
          <w:b/>
          <w:bCs/>
          <w:sz w:val="96"/>
          <w:szCs w:val="96"/>
          <w:lang w:eastAsia="zh-CN"/>
        </w:rPr>
        <w:t>报</w:t>
      </w:r>
    </w:p>
    <w:p>
      <w:pPr>
        <w:jc w:val="center"/>
        <w:rPr>
          <w:rFonts w:hint="eastAsia" w:ascii="黑体" w:hAnsi="黑体" w:eastAsia="黑体" w:cs="黑体"/>
          <w:b/>
          <w:bCs/>
          <w:sz w:val="96"/>
          <w:szCs w:val="96"/>
          <w:lang w:eastAsia="zh-CN"/>
        </w:rPr>
      </w:pPr>
      <w:r>
        <w:rPr>
          <w:rFonts w:hint="eastAsia" w:ascii="黑体" w:hAnsi="黑体" w:eastAsia="黑体" w:cs="黑体"/>
          <w:b/>
          <w:bCs/>
          <w:sz w:val="96"/>
          <w:szCs w:val="96"/>
          <w:lang w:eastAsia="zh-CN"/>
        </w:rPr>
        <w:t>告</w:t>
      </w:r>
    </w:p>
    <w:p>
      <w:pPr>
        <w:jc w:val="center"/>
        <w:rPr>
          <w:rFonts w:hint="eastAsia" w:ascii="微软雅黑" w:hAnsi="微软雅黑" w:eastAsia="微软雅黑" w:cs="微软雅黑"/>
          <w:sz w:val="28"/>
          <w:szCs w:val="28"/>
          <w:lang w:eastAsia="zh-CN"/>
        </w:rPr>
      </w:pPr>
    </w:p>
    <w:p>
      <w:pPr>
        <w:jc w:val="center"/>
        <w:rPr>
          <w:rFonts w:hint="eastAsia" w:ascii="微软雅黑" w:hAnsi="微软雅黑" w:eastAsia="微软雅黑" w:cs="微软雅黑"/>
          <w:sz w:val="28"/>
          <w:szCs w:val="28"/>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ind w:leftChars="800"/>
        <w:jc w:val="left"/>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评定机构：河南厚朴养老服务有限公司</w:t>
      </w:r>
    </w:p>
    <w:p>
      <w:pPr>
        <w:ind w:leftChars="800"/>
        <w:jc w:val="left"/>
        <w:rPr>
          <w:rFonts w:hint="eastAsia" w:ascii="黑体" w:hAnsi="黑体" w:eastAsia="黑体" w:cs="黑体"/>
          <w:sz w:val="28"/>
          <w:szCs w:val="28"/>
          <w:lang w:val="en-US" w:eastAsia="zh-CN"/>
        </w:rPr>
      </w:pPr>
      <w:r>
        <w:rPr>
          <w:rFonts w:hint="eastAsia" w:ascii="微软雅黑" w:hAnsi="微软雅黑" w:eastAsia="微软雅黑" w:cs="微软雅黑"/>
          <w:sz w:val="28"/>
          <w:szCs w:val="28"/>
          <w:lang w:val="en-US" w:eastAsia="zh-CN"/>
        </w:rPr>
        <w:t>评定时间：2021年3月</w:t>
      </w:r>
      <w:r>
        <w:rPr>
          <w:rFonts w:hint="eastAsia" w:ascii="黑体" w:hAnsi="黑体" w:eastAsia="黑体" w:cs="黑体"/>
          <w:sz w:val="28"/>
          <w:szCs w:val="28"/>
          <w:lang w:val="en-US" w:eastAsia="zh-CN"/>
        </w:rPr>
        <w:br w:type="page"/>
      </w:r>
    </w:p>
    <w:p>
      <w:pPr>
        <w:rPr>
          <w:rFonts w:hint="default" w:ascii="黑体" w:hAnsi="黑体" w:eastAsia="黑体" w:cs="黑体"/>
          <w:sz w:val="28"/>
          <w:szCs w:val="28"/>
          <w:lang w:val="en-US" w:eastAsia="zh-CN"/>
        </w:rPr>
      </w:pPr>
    </w:p>
    <w:sdt>
      <w:sdtPr>
        <w:rPr>
          <w:rFonts w:hint="eastAsia" w:ascii="黑体" w:hAnsi="黑体" w:eastAsia="黑体" w:cs="黑体"/>
          <w:b/>
          <w:bCs/>
          <w:kern w:val="2"/>
          <w:sz w:val="32"/>
          <w:szCs w:val="32"/>
          <w:lang w:val="en-US" w:eastAsia="zh-CN" w:bidi="ar-SA"/>
        </w:rPr>
        <w:id w:val="147471866"/>
        <w15:color w:val="DBDBDB"/>
        <w:docPartObj>
          <w:docPartGallery w:val="Table of Contents"/>
          <w:docPartUnique/>
        </w:docPartObj>
      </w:sdtPr>
      <w:sdtEndPr>
        <w:rPr>
          <w:rFonts w:hint="eastAsia" w:ascii="黑体" w:hAnsi="黑体" w:eastAsia="黑体" w:cs="黑体"/>
          <w:b/>
          <w:bCs/>
          <w:kern w:val="2"/>
          <w:sz w:val="32"/>
          <w:szCs w:val="40"/>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rPr>
              <w:rFonts w:hint="eastAsia" w:ascii="宋体" w:hAnsi="宋体" w:eastAsia="宋体" w:cs="宋体"/>
              <w:b/>
              <w:bCs/>
              <w:sz w:val="32"/>
              <w:szCs w:val="32"/>
            </w:rPr>
          </w:pPr>
          <w:bookmarkStart w:id="0" w:name="_Toc28749"/>
          <w:r>
            <w:rPr>
              <w:rFonts w:hint="eastAsia" w:ascii="宋体" w:hAnsi="宋体" w:eastAsia="宋体" w:cs="宋体"/>
              <w:b/>
              <w:bCs/>
              <w:sz w:val="32"/>
              <w:szCs w:val="32"/>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录</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_Toc7956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 等级评定背景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_Toc7956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_Toc14138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二、 等级评定内容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_Toc14138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_Toc12389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三、 等级评定原则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_Toc12389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_Toc22659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四、 等级评定实施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_Toc22659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_Toc23550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五、 等级评定过程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_Toc23550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_Toc31224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六、 等级评定结果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_Toc31224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_Toc4851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七、 等级评定问题发现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_Toc4851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_Toc27324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八、 等级评定综合评价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_Toc27324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9"/>
          </w:pPr>
          <w:r>
            <w:rPr>
              <w:rFonts w:hint="eastAsia" w:ascii="宋体" w:hAnsi="宋体" w:eastAsia="宋体" w:cs="宋体"/>
              <w:sz w:val="24"/>
              <w:szCs w:val="24"/>
            </w:rPr>
            <w:fldChar w:fldCharType="end"/>
          </w:r>
        </w:p>
      </w:sdtContent>
    </w:sdt>
    <w:p>
      <w:pPr>
        <w:numPr>
          <w:ilvl w:val="0"/>
          <w:numId w:val="0"/>
        </w:numPr>
        <w:jc w:val="center"/>
        <w:outlineLvl w:val="0"/>
        <w:rPr>
          <w:rFonts w:hint="eastAsia" w:ascii="宋体" w:hAnsi="宋体" w:eastAsia="宋体" w:cs="宋体"/>
          <w:b/>
          <w:bCs/>
          <w:sz w:val="40"/>
          <w:szCs w:val="40"/>
          <w:lang w:val="en-US" w:eastAsia="zh-CN"/>
        </w:rPr>
        <w:sectPr>
          <w:pgSz w:w="11906" w:h="16838"/>
          <w:pgMar w:top="1440" w:right="1800" w:bottom="1440" w:left="1800" w:header="851" w:footer="992" w:gutter="0"/>
          <w:cols w:space="425" w:num="1"/>
          <w:docGrid w:type="lines" w:linePitch="312" w:charSpace="0"/>
        </w:sectPr>
      </w:pPr>
      <w:bookmarkStart w:id="1" w:name="_Toc11169"/>
    </w:p>
    <w:bookmarkEnd w:id="0"/>
    <w:bookmarkEnd w:id="1"/>
    <w:p>
      <w:pPr>
        <w:pStyle w:val="6"/>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643" w:firstLineChars="200"/>
        <w:jc w:val="both"/>
        <w:textAlignment w:val="auto"/>
        <w:outlineLvl w:val="0"/>
        <w:rPr>
          <w:rFonts w:hint="eastAsia"/>
          <w:sz w:val="32"/>
          <w:szCs w:val="20"/>
          <w:lang w:val="en-US" w:eastAsia="zh-CN"/>
        </w:rPr>
      </w:pPr>
      <w:bookmarkStart w:id="2" w:name="_Toc7956"/>
      <w:r>
        <w:rPr>
          <w:rFonts w:hint="eastAsia"/>
          <w:sz w:val="32"/>
          <w:szCs w:val="20"/>
          <w:lang w:val="en-US" w:eastAsia="zh-CN"/>
        </w:rPr>
        <w:t>等级评定背景</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为贯彻落实《民政部 住房城乡建设部 国家卫生健康委 应急管理部 市场监管总局 关于做好2020年养老院服务质量建设专项行动工作的通知》(民发[2020]46号)要求，全面推行养老机构等级评定工作，济源产城融合示范区民政局通过公开招标方式遴选等级评定专业机构。河南厚朴养老服务有限公司以专业能力和资质中标，受托对济源产城融合示范区（以下简称“示范区”）养老机构开展养老机构等级划分与评定工作。</w:t>
      </w:r>
    </w:p>
    <w:p>
      <w:pPr>
        <w:pStyle w:val="6"/>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643" w:firstLineChars="200"/>
        <w:jc w:val="both"/>
        <w:textAlignment w:val="auto"/>
        <w:outlineLvl w:val="0"/>
        <w:rPr>
          <w:rFonts w:hint="eastAsia"/>
          <w:sz w:val="32"/>
          <w:szCs w:val="20"/>
          <w:lang w:val="en-US" w:eastAsia="zh-CN"/>
        </w:rPr>
      </w:pPr>
      <w:bookmarkStart w:id="3" w:name="_Toc14138"/>
      <w:r>
        <w:rPr>
          <w:rFonts w:hint="eastAsia"/>
          <w:sz w:val="32"/>
          <w:szCs w:val="20"/>
          <w:lang w:val="en-US" w:eastAsia="zh-CN"/>
        </w:rPr>
        <w:t>等级评定内容</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依据《养老机构等级划分与评定》国家标准和《养老机构等级划分与评定》实施指南对示范区养老机构的环境、设施设备、运营管理和服务四大板块进行综合评定。</w:t>
      </w:r>
    </w:p>
    <w:p>
      <w:pPr>
        <w:pStyle w:val="6"/>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643" w:firstLineChars="200"/>
        <w:jc w:val="both"/>
        <w:textAlignment w:val="auto"/>
        <w:outlineLvl w:val="0"/>
        <w:rPr>
          <w:rFonts w:hint="eastAsia"/>
          <w:sz w:val="32"/>
          <w:szCs w:val="20"/>
          <w:lang w:val="en-US" w:eastAsia="zh-CN"/>
        </w:rPr>
      </w:pPr>
      <w:bookmarkStart w:id="4" w:name="_Toc12389"/>
      <w:r>
        <w:rPr>
          <w:rFonts w:hint="eastAsia"/>
          <w:sz w:val="32"/>
          <w:szCs w:val="20"/>
          <w:lang w:val="en-US" w:eastAsia="zh-CN"/>
        </w:rPr>
        <w:t>等级评定原则</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全面客观、质量为重、注重实效、独立公正。</w:t>
      </w:r>
    </w:p>
    <w:p>
      <w:pPr>
        <w:pStyle w:val="6"/>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643" w:firstLineChars="200"/>
        <w:jc w:val="both"/>
        <w:textAlignment w:val="auto"/>
        <w:outlineLvl w:val="0"/>
        <w:rPr>
          <w:rFonts w:hint="eastAsia"/>
          <w:sz w:val="32"/>
          <w:szCs w:val="20"/>
          <w:lang w:val="en-US" w:eastAsia="zh-CN"/>
        </w:rPr>
      </w:pPr>
      <w:bookmarkStart w:id="5" w:name="_Toc22659"/>
      <w:r>
        <w:rPr>
          <w:rFonts w:hint="eastAsia"/>
          <w:sz w:val="32"/>
          <w:szCs w:val="20"/>
          <w:lang w:val="en-US" w:eastAsia="zh-CN"/>
        </w:rPr>
        <w:t>等级评定实施</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firstLine="643" w:firstLineChars="200"/>
        <w:jc w:val="both"/>
        <w:textAlignment w:val="auto"/>
        <w:rPr>
          <w:rFonts w:hint="eastAsia" w:ascii="仿宋" w:hAnsi="仿宋" w:eastAsia="仿宋" w:cs="仿宋"/>
          <w:b/>
          <w:bCs/>
          <w:i w:val="0"/>
          <w:caps w:val="0"/>
          <w:color w:val="000000"/>
          <w:spacing w:val="0"/>
          <w:kern w:val="0"/>
          <w:sz w:val="32"/>
          <w:szCs w:val="32"/>
          <w:lang w:val="en-US" w:eastAsia="zh-CN" w:bidi="ar"/>
        </w:rPr>
      </w:pPr>
      <w:r>
        <w:rPr>
          <w:rFonts w:hint="eastAsia" w:ascii="仿宋" w:hAnsi="仿宋" w:eastAsia="仿宋" w:cs="仿宋"/>
          <w:b/>
          <w:bCs/>
          <w:i w:val="0"/>
          <w:caps w:val="0"/>
          <w:color w:val="000000"/>
          <w:spacing w:val="0"/>
          <w:kern w:val="0"/>
          <w:sz w:val="32"/>
          <w:szCs w:val="32"/>
          <w:lang w:val="en-US" w:eastAsia="zh-CN" w:bidi="ar"/>
        </w:rPr>
        <w:t>（一）评定程序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1.民政局通知养老机构根据《养老机构等级划分与评定》和《&lt;养老机构等级划分与评定&gt;国家标准实施指南》做好自评工作。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2.民政局汇总各养老机构信息表，并发送至评估机构。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3.评估机构在规定时间内组织评定专家开展现场评定工作，同时提前联系受评机构，确定具体评定时间。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4.现场评定工作结束后，出具评定结果报告。</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firstLine="643" w:firstLineChars="200"/>
        <w:jc w:val="both"/>
        <w:textAlignment w:val="auto"/>
        <w:rPr>
          <w:rFonts w:hint="eastAsia" w:ascii="仿宋" w:hAnsi="仿宋" w:eastAsia="仿宋" w:cs="仿宋"/>
          <w:b/>
          <w:bCs/>
          <w:i w:val="0"/>
          <w:caps w:val="0"/>
          <w:color w:val="000000"/>
          <w:spacing w:val="0"/>
          <w:kern w:val="0"/>
          <w:sz w:val="32"/>
          <w:szCs w:val="32"/>
          <w:lang w:val="en-US" w:eastAsia="zh-CN" w:bidi="ar"/>
        </w:rPr>
      </w:pPr>
      <w:r>
        <w:rPr>
          <w:rFonts w:hint="eastAsia" w:ascii="仿宋" w:hAnsi="仿宋" w:eastAsia="仿宋" w:cs="仿宋"/>
          <w:b/>
          <w:bCs/>
          <w:i w:val="0"/>
          <w:caps w:val="0"/>
          <w:color w:val="000000"/>
          <w:spacing w:val="0"/>
          <w:kern w:val="0"/>
          <w:sz w:val="32"/>
          <w:szCs w:val="32"/>
          <w:lang w:val="en-US" w:eastAsia="zh-CN" w:bidi="ar"/>
        </w:rPr>
        <w:t>（二）时间安排</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1.养老机构自评：2020年12月8日-31日。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2.现场评定：2021年3月10-17日。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注：第一阶段评定工作于2021年1月14日启动，因疫情防控需要，示范区养老机构实行封闭管理，评估工作暂停。2021年3月10日第二阶段评定工作再次启动。</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3.出具评估报告：2021年3月18日-25日。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2021年1月8日，示范区养老机构等级评定工作启动仪式在济源市中心敬老院举行，示范区党工委委员、管委会副主任、副市长谭江出席启动仪式并讲话，对养老机构等级评定工作提出了具体要求，对于养老机构等级评定工作给予大力支持。</w:t>
      </w:r>
    </w:p>
    <w:p>
      <w:pPr>
        <w:pStyle w:val="2"/>
        <w:rPr>
          <w:rFonts w:hint="eastAsia" w:ascii="仿宋" w:hAnsi="仿宋" w:eastAsia="仿宋" w:cs="仿宋"/>
          <w:b w:val="0"/>
          <w:bCs w:val="0"/>
          <w:kern w:val="0"/>
          <w:sz w:val="32"/>
          <w:szCs w:val="32"/>
          <w:lang w:val="en-US" w:eastAsia="zh-CN"/>
        </w:rPr>
      </w:pPr>
    </w:p>
    <w:p>
      <w:pPr>
        <w:spacing w:line="240" w:lineRule="auto"/>
        <w:jc w:val="center"/>
        <w:rPr>
          <w:rFonts w:hint="eastAsia"/>
          <w:lang w:val="en-US" w:eastAsia="zh-CN"/>
        </w:rPr>
      </w:pPr>
      <w:r>
        <w:rPr>
          <w:rFonts w:hint="eastAsia"/>
          <w:lang w:val="en-US" w:eastAsia="zh-CN"/>
        </w:rPr>
        <w:drawing>
          <wp:inline distT="0" distB="0" distL="114300" distR="114300">
            <wp:extent cx="3213735" cy="2082165"/>
            <wp:effectExtent l="0" t="0" r="5715" b="3810"/>
            <wp:docPr id="33" name="图片 33" descr="微信图片_20210108153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1081537144"/>
                    <pic:cNvPicPr>
                      <a:picLocks noChangeAspect="1"/>
                    </pic:cNvPicPr>
                  </pic:nvPicPr>
                  <pic:blipFill>
                    <a:blip r:embed="rId5"/>
                    <a:stretch>
                      <a:fillRect/>
                    </a:stretch>
                  </pic:blipFill>
                  <pic:spPr>
                    <a:xfrm>
                      <a:off x="0" y="0"/>
                      <a:ext cx="3213735" cy="2082165"/>
                    </a:xfrm>
                    <a:prstGeom prst="rect">
                      <a:avLst/>
                    </a:prstGeom>
                  </pic:spPr>
                </pic:pic>
              </a:graphicData>
            </a:graphic>
          </wp:inline>
        </w:drawing>
      </w:r>
    </w:p>
    <w:p>
      <w:pPr>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示范区党工委委员、管委会副主任、副市长谭江</w:t>
      </w:r>
    </w:p>
    <w:p>
      <w:pPr>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出席启动仪式并讲话</w:t>
      </w:r>
    </w:p>
    <w:p>
      <w:pPr>
        <w:jc w:val="center"/>
        <w:rPr>
          <w:rFonts w:hint="eastAsia"/>
          <w:lang w:val="en-US" w:eastAsia="zh-CN"/>
        </w:rPr>
      </w:pPr>
      <w:r>
        <w:rPr>
          <w:rFonts w:hint="eastAsia"/>
          <w:lang w:val="en-US" w:eastAsia="zh-CN"/>
        </w:rPr>
        <w:drawing>
          <wp:inline distT="0" distB="0" distL="114300" distR="114300">
            <wp:extent cx="3255645" cy="2085975"/>
            <wp:effectExtent l="0" t="0" r="1905" b="0"/>
            <wp:docPr id="5" name="图片 5" descr="微信图片_20210108153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1081537141"/>
                    <pic:cNvPicPr>
                      <a:picLocks noChangeAspect="1"/>
                    </pic:cNvPicPr>
                  </pic:nvPicPr>
                  <pic:blipFill>
                    <a:blip r:embed="rId6"/>
                    <a:stretch>
                      <a:fillRect/>
                    </a:stretch>
                  </pic:blipFill>
                  <pic:spPr>
                    <a:xfrm>
                      <a:off x="0" y="0"/>
                      <a:ext cx="3255645" cy="2085975"/>
                    </a:xfrm>
                    <a:prstGeom prst="rect">
                      <a:avLst/>
                    </a:prstGeom>
                  </pic:spPr>
                </pic:pic>
              </a:graphicData>
            </a:graphic>
          </wp:inline>
        </w:drawing>
      </w:r>
    </w:p>
    <w:p>
      <w:pPr>
        <w:spacing w:line="360" w:lineRule="auto"/>
        <w:jc w:val="center"/>
        <w:rPr>
          <w:rFonts w:hint="eastAsia"/>
          <w:sz w:val="21"/>
          <w:szCs w:val="21"/>
          <w:lang w:val="en-US" w:eastAsia="zh-CN"/>
        </w:rPr>
      </w:pPr>
      <w:r>
        <w:rPr>
          <w:rFonts w:hint="eastAsia" w:ascii="Times New Roman" w:hAnsi="Times New Roman" w:eastAsia="宋体" w:cs="Times New Roman"/>
          <w:kern w:val="2"/>
          <w:sz w:val="21"/>
          <w:szCs w:val="21"/>
          <w:lang w:val="en-US" w:eastAsia="zh-CN" w:bidi="ar-SA"/>
        </w:rPr>
        <w:t>示范区民政局党组书记、局长苗春芳出席启动仪式并讲话</w:t>
      </w:r>
    </w:p>
    <w:p>
      <w:pPr>
        <w:jc w:val="center"/>
        <w:rPr>
          <w:rFonts w:hint="eastAsia"/>
          <w:lang w:val="en-US" w:eastAsia="zh-CN"/>
        </w:rPr>
      </w:pPr>
      <w:r>
        <w:rPr>
          <w:rFonts w:hint="eastAsia"/>
          <w:lang w:val="en-US" w:eastAsia="zh-CN"/>
        </w:rPr>
        <w:drawing>
          <wp:inline distT="0" distB="0" distL="114300" distR="114300">
            <wp:extent cx="3260725" cy="1634490"/>
            <wp:effectExtent l="0" t="0" r="6350" b="3810"/>
            <wp:docPr id="36" name="图片 36" descr="IMG_20210108_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10108_100118"/>
                    <pic:cNvPicPr>
                      <a:picLocks noChangeAspect="1"/>
                    </pic:cNvPicPr>
                  </pic:nvPicPr>
                  <pic:blipFill>
                    <a:blip r:embed="rId7"/>
                    <a:srcRect t="8554" b="14037"/>
                    <a:stretch>
                      <a:fillRect/>
                    </a:stretch>
                  </pic:blipFill>
                  <pic:spPr>
                    <a:xfrm>
                      <a:off x="0" y="0"/>
                      <a:ext cx="3260725" cy="1634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示范区养老机构等级评定工作启动仪式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2021年1月14日，河南厚朴养老服务有限公司组织评定专家组前往济源，启动养老机构等级评定工作。但因新冠肺炎疫情防控原因，河南省民政厅对全省养老机构采取了封闭防控措施，示范区民政局相应对全市养老机构进行封闭管理，年前仅完成一家养老机构的等级评定。</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2021年3月初，示范区民政局解除了对全市养老机构的封闭。河南厚朴养老服务有限公司根据示范区民政局的要求，积极组织专家组前往示范区开展养老机构等级评定工作。截至2021年3月18日，专家组全部完成了17家养老机构的等级评定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（注：沁园街道综合养老服务中心、玉泉街道综合养老服务中心、第三人民医院医养结合项目三家养老机构或在建中，或成立未满一年，此次未进行评定。）</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firstLine="643" w:firstLineChars="200"/>
        <w:jc w:val="both"/>
        <w:textAlignment w:val="auto"/>
        <w:rPr>
          <w:rFonts w:hint="eastAsia" w:ascii="仿宋" w:hAnsi="仿宋" w:eastAsia="仿宋" w:cs="仿宋"/>
          <w:b/>
          <w:bCs/>
          <w:i w:val="0"/>
          <w:caps w:val="0"/>
          <w:color w:val="000000"/>
          <w:spacing w:val="0"/>
          <w:kern w:val="0"/>
          <w:sz w:val="32"/>
          <w:szCs w:val="32"/>
          <w:lang w:val="en-US" w:eastAsia="zh-CN" w:bidi="ar"/>
        </w:rPr>
      </w:pPr>
      <w:r>
        <w:rPr>
          <w:rFonts w:hint="eastAsia" w:ascii="仿宋" w:hAnsi="仿宋" w:eastAsia="仿宋" w:cs="仿宋"/>
          <w:b/>
          <w:bCs/>
          <w:i w:val="0"/>
          <w:caps w:val="0"/>
          <w:color w:val="000000"/>
          <w:spacing w:val="0"/>
          <w:kern w:val="0"/>
          <w:sz w:val="32"/>
          <w:szCs w:val="32"/>
          <w:lang w:val="en-US" w:eastAsia="zh-CN" w:bidi="ar"/>
        </w:rPr>
        <w:t>（三）评定方式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河南厚朴养老服务有限公司作为本次示范区养老机构等级划分与评定的评估机构，组织成立了由养老评估、医疗、护理、社工等不同专业的专家团队，开展等级划分与评定工作。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评估现场，由评定专家组组长讲明评定现场程序及有关要求，受评养老机构负责人向评定专家组介绍本机构的基本情况。评定专家组依据《养老机构等级划分与评定》实施指南，采取现场观察、查阅记录、核查证照、当场问询、现场测距、即时测温、现场问卷调查等方式，对养老机构的环境、设施设备、运营管理、服务四大板块进行综合评估。</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firstLine="643" w:firstLineChars="200"/>
        <w:jc w:val="both"/>
        <w:textAlignment w:val="auto"/>
        <w:rPr>
          <w:rFonts w:hint="eastAsia" w:ascii="仿宋" w:hAnsi="仿宋" w:eastAsia="仿宋" w:cs="仿宋"/>
          <w:b/>
          <w:bCs/>
          <w:i w:val="0"/>
          <w:caps w:val="0"/>
          <w:color w:val="000000"/>
          <w:spacing w:val="0"/>
          <w:kern w:val="0"/>
          <w:sz w:val="32"/>
          <w:szCs w:val="32"/>
          <w:lang w:val="en-US" w:eastAsia="zh-CN" w:bidi="ar"/>
        </w:rPr>
      </w:pPr>
      <w:r>
        <w:rPr>
          <w:rFonts w:hint="eastAsia" w:ascii="仿宋" w:hAnsi="仿宋" w:eastAsia="仿宋" w:cs="仿宋"/>
          <w:b/>
          <w:bCs/>
          <w:i w:val="0"/>
          <w:caps w:val="0"/>
          <w:color w:val="000000"/>
          <w:spacing w:val="0"/>
          <w:kern w:val="0"/>
          <w:sz w:val="32"/>
          <w:szCs w:val="32"/>
          <w:lang w:val="en-US" w:eastAsia="zh-CN" w:bidi="ar"/>
        </w:rPr>
        <w:t>（四）评定分值</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3" w:firstLineChars="200"/>
        <w:jc w:val="both"/>
        <w:textAlignment w:val="auto"/>
        <w:outlineLvl w:val="9"/>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1.各等级分值要求</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等级评定总分为1000分，包括环境120分、设施设备130分、运营管理150分、服务600分。各级别分值具体要求如下：</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（1）养老机构评定得分不低于360分且每一分项得分不低于该项总分40%的，为一级养老机构；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（2）养老机构评定得分不低于450分且每一分项得分不低于该项总分50%的，为二级养老机构；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（3）养老机构评定得分不低于570分且每一分项得分不低于该项总分60%的，为三级养老机构；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（4）养老机构评定得分不低于780分且每一分项得分不低于该项总分80%的，为四级养老机构；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（5）养老机构评定得分不低于900分且每一分项得分不低于该项总分90%的，为五级养老机构。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3"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bCs/>
          <w:kern w:val="0"/>
          <w:sz w:val="32"/>
          <w:szCs w:val="32"/>
          <w:lang w:val="en-US" w:eastAsia="zh-CN"/>
        </w:rPr>
        <w:t>2.总分计算</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当符合指南中注明的“不参与评分”的条件时，按以下方式计算最终得分：</w:t>
      </w:r>
    </w:p>
    <w:p>
      <w:pPr>
        <w:spacing w:after="0" w:line="240" w:lineRule="auto"/>
        <w:jc w:val="center"/>
        <w:rPr>
          <w:rFonts w:ascii="微软雅黑" w:hAnsi="微软雅黑" w:eastAsia="微软雅黑" w:cs="微软雅黑"/>
        </w:rPr>
      </w:pPr>
      <w:r>
        <w:rPr>
          <w:rFonts w:hint="eastAsia" w:ascii="仿宋" w:hAnsi="仿宋" w:eastAsia="仿宋" w:cs="仿宋"/>
          <w:sz w:val="22"/>
          <w:szCs w:val="22"/>
          <w:lang w:val="en-US" w:eastAsia="zh-CN" w:bidi="ar-SA"/>
        </w:rPr>
        <w:drawing>
          <wp:inline distT="0" distB="0" distL="114300" distR="114300">
            <wp:extent cx="3500120" cy="7899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lum/>
                    </a:blip>
                    <a:srcRect l="13698" r="16908"/>
                    <a:stretch>
                      <a:fillRect/>
                    </a:stretch>
                  </pic:blipFill>
                  <pic:spPr>
                    <a:xfrm>
                      <a:off x="0" y="0"/>
                      <a:ext cx="3500120" cy="7899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例：机构A符合1.1.1.5（满分2分）和1.1.1.6（满分2分）的不参与评分条件。经过评定工作组逐条评定后，机构A的环境部分评价得分为78分。机构A的实际得分计算如下：</w:t>
      </w:r>
    </w:p>
    <w:p>
      <w:pPr>
        <w:pStyle w:val="2"/>
        <w:jc w:val="center"/>
        <w:rPr>
          <w:rFonts w:hint="eastAsia"/>
          <w:lang w:val="en-US" w:eastAsia="zh-CN"/>
        </w:rPr>
      </w:pPr>
      <w:r>
        <w:rPr>
          <w:rFonts w:hint="eastAsia" w:ascii="仿宋" w:hAnsi="仿宋" w:eastAsia="仿宋" w:cs="仿宋"/>
          <w:sz w:val="22"/>
          <w:szCs w:val="22"/>
          <w:lang w:val="en-US" w:eastAsia="zh-CN" w:bidi="ar-SA"/>
        </w:rPr>
        <w:drawing>
          <wp:inline distT="0" distB="0" distL="114300" distR="114300">
            <wp:extent cx="4319905" cy="656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lum/>
                    </a:blip>
                    <a:srcRect l="8712" r="13102"/>
                    <a:stretch>
                      <a:fillRect/>
                    </a:stretch>
                  </pic:blipFill>
                  <pic:spPr>
                    <a:xfrm>
                      <a:off x="0" y="0"/>
                      <a:ext cx="4319905" cy="656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3" w:firstLineChars="200"/>
        <w:jc w:val="both"/>
        <w:textAlignment w:val="auto"/>
        <w:outlineLvl w:val="9"/>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3.基本要求与条件</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《&lt;养老机构等级划分与评定&gt;国家标准实施指南》（试行）规定：</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（1）标黑字体的指标为《养老机构等级划分与评定》国家标准“第5部分 申请等级评定应满足的基本要求与条件”中的条款。如该养老机构不符合基本要求或其申请等级的条件，则自动终止评定程序。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（2）服务提供应符合以下要求，如某项不符合，则自动终止评定程序。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1）申请各等级评定养老机构至少能提供4.1-4.10服务；</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2）申请3级及以上评定的养老机构至少能提供4.11服务；</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3）申请4级及以上评定的养老机构至少能提供4.12服务；</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4）申请5级评定的养老机构至少能提供4.13服务。</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firstLine="643" w:firstLineChars="200"/>
        <w:jc w:val="both"/>
        <w:textAlignment w:val="auto"/>
        <w:rPr>
          <w:rFonts w:hint="eastAsia" w:ascii="仿宋" w:hAnsi="仿宋" w:eastAsia="仿宋" w:cs="仿宋"/>
          <w:b/>
          <w:bCs/>
          <w:i w:val="0"/>
          <w:caps w:val="0"/>
          <w:color w:val="000000"/>
          <w:spacing w:val="0"/>
          <w:kern w:val="0"/>
          <w:sz w:val="32"/>
          <w:szCs w:val="32"/>
          <w:lang w:val="en-US" w:eastAsia="zh-CN" w:bidi="ar"/>
        </w:rPr>
      </w:pPr>
      <w:r>
        <w:rPr>
          <w:rFonts w:hint="eastAsia" w:ascii="仿宋" w:hAnsi="仿宋" w:eastAsia="仿宋" w:cs="仿宋"/>
          <w:b/>
          <w:bCs/>
          <w:i w:val="0"/>
          <w:caps w:val="0"/>
          <w:color w:val="000000"/>
          <w:spacing w:val="0"/>
          <w:kern w:val="0"/>
          <w:sz w:val="32"/>
          <w:szCs w:val="32"/>
          <w:lang w:val="en-US" w:eastAsia="zh-CN" w:bidi="ar"/>
        </w:rPr>
        <w:t>（五）评定依据</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1.GB/T 37276—2018《养老机构等级划分与评定》；</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2.《&lt;养老机构等级划分与评定&gt;国家标准实施指南》；</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3.GB/T10001.1公共信息图形符号第１部分：通用符号；</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4.GB/T10001.9标志用公共信息图形符号第９部分：无障碍设施符号；</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5.GB/T35796-2017养老机构服务质量基本规范；</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6.MZ/T032-2012养老机构安全管理；</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7.MZ/T039老年人能力评估。</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firstLine="643" w:firstLineChars="200"/>
        <w:jc w:val="both"/>
        <w:textAlignment w:val="auto"/>
        <w:rPr>
          <w:rFonts w:hint="eastAsia" w:ascii="仿宋" w:hAnsi="仿宋" w:eastAsia="仿宋" w:cs="仿宋"/>
          <w:b/>
          <w:bCs/>
          <w:i w:val="0"/>
          <w:caps w:val="0"/>
          <w:color w:val="000000"/>
          <w:spacing w:val="0"/>
          <w:kern w:val="0"/>
          <w:sz w:val="32"/>
          <w:szCs w:val="32"/>
          <w:lang w:val="en-US" w:eastAsia="zh-CN" w:bidi="ar"/>
        </w:rPr>
      </w:pPr>
      <w:r>
        <w:rPr>
          <w:rFonts w:hint="eastAsia" w:ascii="仿宋" w:hAnsi="仿宋" w:eastAsia="仿宋" w:cs="仿宋"/>
          <w:b/>
          <w:bCs/>
          <w:i w:val="0"/>
          <w:caps w:val="0"/>
          <w:color w:val="000000"/>
          <w:spacing w:val="0"/>
          <w:kern w:val="0"/>
          <w:sz w:val="32"/>
          <w:szCs w:val="32"/>
          <w:lang w:val="en-US" w:eastAsia="zh-CN" w:bidi="ar"/>
        </w:rPr>
        <w:t>（六）评定纪律</w:t>
      </w: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360" w:lineRule="auto"/>
        <w:ind w:firstLine="640" w:firstLineChars="200"/>
        <w:jc w:val="both"/>
        <w:textAlignment w:val="auto"/>
        <w:outlineLvl w:val="9"/>
        <w:rPr>
          <w:rFonts w:hint="eastAsia"/>
          <w:lang w:val="en-US" w:eastAsia="zh-CN"/>
        </w:rPr>
      </w:pPr>
      <w:r>
        <w:rPr>
          <w:rFonts w:hint="eastAsia" w:ascii="仿宋" w:hAnsi="仿宋" w:eastAsia="仿宋" w:cs="仿宋"/>
          <w:b w:val="0"/>
          <w:bCs w:val="0"/>
          <w:kern w:val="0"/>
          <w:sz w:val="32"/>
          <w:szCs w:val="32"/>
          <w:lang w:val="en-US" w:eastAsia="zh-CN"/>
        </w:rPr>
        <w:t>参与养老机构等级划分与评定工作的专家严格遵守以下评估纪律：</w:t>
      </w: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1.不准收受养老机构赠送的现金等礼物。</w:t>
      </w: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2.不准对养老机构提出检查项目之外的额外要求。</w:t>
      </w: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3.不准降低养老机构检查标准和简化养老机构检查评定程序，或以自己的好恶随意解释和评判标准。</w:t>
      </w: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4.不得以评定名义和身份开展与评定无关的活动。</w:t>
      </w: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5.不准请养老机构代为评定打分、撰写和邮寄评定报告。</w:t>
      </w:r>
    </w:p>
    <w:p>
      <w:pPr>
        <w:keepNext w:val="0"/>
        <w:keepLines w:val="0"/>
        <w:pageBreakBefore w:val="0"/>
        <w:widowControl w:val="0"/>
        <w:kinsoku/>
        <w:wordWrap/>
        <w:overflowPunct/>
        <w:topLinePunct w:val="0"/>
        <w:autoSpaceDE w:val="0"/>
        <w:autoSpaceDN w:val="0"/>
        <w:bidi w:val="0"/>
        <w:adjustRightInd w:val="0"/>
        <w:snapToGrid/>
        <w:spacing w:before="313" w:beforeLines="100" w:after="313" w:afterLines="10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6.不准要求、暗示和接受养老机构安排与评定工作无关的旅游及其他娱乐活动。</w:t>
      </w:r>
    </w:p>
    <w:p>
      <w:pPr>
        <w:pStyle w:val="6"/>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643" w:firstLineChars="200"/>
        <w:jc w:val="both"/>
        <w:textAlignment w:val="auto"/>
        <w:outlineLvl w:val="0"/>
        <w:rPr>
          <w:rFonts w:hint="eastAsia"/>
          <w:sz w:val="32"/>
          <w:szCs w:val="20"/>
          <w:lang w:val="en-US" w:eastAsia="zh-CN"/>
        </w:rPr>
      </w:pPr>
      <w:bookmarkStart w:id="6" w:name="_Toc23550"/>
      <w:r>
        <w:rPr>
          <w:rFonts w:hint="eastAsia"/>
          <w:sz w:val="32"/>
          <w:szCs w:val="20"/>
          <w:lang w:val="en-US" w:eastAsia="zh-CN"/>
        </w:rPr>
        <w:t>等级评定过程</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济源产城融合示范区是河南省开展养老机构等级评定工作的试点城市，为做好本次评定工作，河南厚朴养老服务有限公司派专家组核心骨干与示范区民政局李文文一起，参加了河南省养老机构等级划分与评定培训，聆听了民政部养老机构评定专家委员的现场授课，为本次养老机构等级评定作了技术上的准备。</w:t>
      </w:r>
    </w:p>
    <w:p>
      <w:pPr>
        <w:spacing w:line="240" w:lineRule="auto"/>
        <w:jc w:val="center"/>
        <w:rPr>
          <w:rFonts w:hint="eastAsia"/>
          <w:lang w:val="en-US" w:eastAsia="zh-CN"/>
        </w:rPr>
      </w:pPr>
      <w:r>
        <w:rPr>
          <w:rFonts w:hint="eastAsia"/>
          <w:lang w:val="en-US" w:eastAsia="zh-CN"/>
        </w:rPr>
        <w:drawing>
          <wp:inline distT="0" distB="0" distL="114300" distR="114300">
            <wp:extent cx="3402965" cy="1957070"/>
            <wp:effectExtent l="0" t="0" r="6985" b="5080"/>
            <wp:docPr id="39" name="图片 39" descr="mmexport160880246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608802462364"/>
                    <pic:cNvPicPr>
                      <a:picLocks noChangeAspect="1"/>
                    </pic:cNvPicPr>
                  </pic:nvPicPr>
                  <pic:blipFill>
                    <a:blip r:embed="rId10"/>
                    <a:stretch>
                      <a:fillRect/>
                    </a:stretch>
                  </pic:blipFill>
                  <pic:spPr>
                    <a:xfrm>
                      <a:off x="0" y="0"/>
                      <a:ext cx="3402965" cy="1957070"/>
                    </a:xfrm>
                    <a:prstGeom prst="rect">
                      <a:avLst/>
                    </a:prstGeom>
                  </pic:spPr>
                </pic:pic>
              </a:graphicData>
            </a:graphic>
          </wp:inline>
        </w:drawing>
      </w:r>
    </w:p>
    <w:p>
      <w:pPr>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河南省养老机构等级划分与评定培训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根据养老机构等级评定需要，养老机构评定专家组进场评定时携带了电子测距器、室内外温度测量仪、现场调查问卷、评估量表等评定工具，保证了等级评定的精准性和即时性。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养老机构等级评定专家组严格执行疫情防控规定，进入每一家养老机构，专家评定组全体成员都佩戴口罩，测量体温，经过允许后进场评定。</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本次等级评定的工作方式是现场评定，主要方法有：现场测距、即时测温、现场观察、当场问询、查阅记录、核查证照、现场问卷调查（附评定工作部分照片）。</w:t>
      </w:r>
    </w:p>
    <w:p>
      <w:pPr>
        <w:pStyle w:val="2"/>
        <w:ind w:left="0" w:leftChars="0" w:firstLine="0" w:firstLineChars="0"/>
        <w:jc w:val="center"/>
        <w:rPr>
          <w:rFonts w:hint="eastAsia"/>
          <w:lang w:val="en-US" w:eastAsia="zh-CN"/>
        </w:rPr>
      </w:pPr>
      <w:r>
        <w:rPr>
          <w:rFonts w:hint="eastAsia"/>
          <w:lang w:val="en-US" w:eastAsia="zh-CN"/>
        </w:rPr>
        <w:drawing>
          <wp:inline distT="0" distB="0" distL="114300" distR="114300">
            <wp:extent cx="2438400" cy="1820545"/>
            <wp:effectExtent l="0" t="0" r="0" b="8255"/>
            <wp:docPr id="10" name="图片 10" descr="康乐老年公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康乐老年公寓"/>
                    <pic:cNvPicPr>
                      <a:picLocks noChangeAspect="1"/>
                    </pic:cNvPicPr>
                  </pic:nvPicPr>
                  <pic:blipFill>
                    <a:blip r:embed="rId11"/>
                    <a:stretch>
                      <a:fillRect/>
                    </a:stretch>
                  </pic:blipFill>
                  <pic:spPr>
                    <a:xfrm>
                      <a:off x="0" y="0"/>
                      <a:ext cx="2438400" cy="1820545"/>
                    </a:xfrm>
                    <a:prstGeom prst="rect">
                      <a:avLst/>
                    </a:prstGeom>
                  </pic:spPr>
                </pic:pic>
              </a:graphicData>
            </a:graphic>
          </wp:inline>
        </w:drawing>
      </w:r>
      <w:r>
        <w:rPr>
          <w:rFonts w:hint="eastAsia"/>
          <w:lang w:val="en-US" w:eastAsia="zh-CN"/>
        </w:rPr>
        <w:drawing>
          <wp:inline distT="0" distB="0" distL="114300" distR="114300">
            <wp:extent cx="2486025" cy="1823085"/>
            <wp:effectExtent l="0" t="0" r="0" b="5715"/>
            <wp:docPr id="14" name="图片 14" descr="安心敬老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安心敬老院"/>
                    <pic:cNvPicPr>
                      <a:picLocks noChangeAspect="1"/>
                    </pic:cNvPicPr>
                  </pic:nvPicPr>
                  <pic:blipFill>
                    <a:blip r:embed="rId12"/>
                    <a:stretch>
                      <a:fillRect/>
                    </a:stretch>
                  </pic:blipFill>
                  <pic:spPr>
                    <a:xfrm>
                      <a:off x="0" y="0"/>
                      <a:ext cx="2486025" cy="1823085"/>
                    </a:xfrm>
                    <a:prstGeom prst="rect">
                      <a:avLst/>
                    </a:prstGeom>
                  </pic:spPr>
                </pic:pic>
              </a:graphicData>
            </a:graphic>
          </wp:inline>
        </w:drawing>
      </w:r>
      <w:r>
        <w:rPr>
          <w:rFonts w:hint="eastAsia"/>
          <w:lang w:val="en-US" w:eastAsia="zh-CN"/>
        </w:rPr>
        <w:drawing>
          <wp:inline distT="0" distB="0" distL="114300" distR="114300">
            <wp:extent cx="2451100" cy="1838960"/>
            <wp:effectExtent l="0" t="0" r="6350" b="8890"/>
            <wp:docPr id="2" name="图片 2" descr="中心敬老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敬老院"/>
                    <pic:cNvPicPr>
                      <a:picLocks noChangeAspect="1"/>
                    </pic:cNvPicPr>
                  </pic:nvPicPr>
                  <pic:blipFill>
                    <a:blip r:embed="rId13"/>
                    <a:stretch>
                      <a:fillRect/>
                    </a:stretch>
                  </pic:blipFill>
                  <pic:spPr>
                    <a:xfrm>
                      <a:off x="0" y="0"/>
                      <a:ext cx="2451100" cy="1838960"/>
                    </a:xfrm>
                    <a:prstGeom prst="rect">
                      <a:avLst/>
                    </a:prstGeom>
                  </pic:spPr>
                </pic:pic>
              </a:graphicData>
            </a:graphic>
          </wp:inline>
        </w:drawing>
      </w:r>
      <w:r>
        <w:rPr>
          <w:rFonts w:hint="eastAsia"/>
          <w:lang w:val="en-US" w:eastAsia="zh-CN"/>
        </w:rPr>
        <w:drawing>
          <wp:inline distT="0" distB="0" distL="114300" distR="114300">
            <wp:extent cx="2470785" cy="1840865"/>
            <wp:effectExtent l="0" t="0" r="5715" b="6985"/>
            <wp:docPr id="8" name="图片 8" descr="老来乐老年公寓沁园站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老来乐老年公寓沁园站点"/>
                    <pic:cNvPicPr>
                      <a:picLocks noChangeAspect="1"/>
                    </pic:cNvPicPr>
                  </pic:nvPicPr>
                  <pic:blipFill>
                    <a:blip r:embed="rId14"/>
                    <a:stretch>
                      <a:fillRect/>
                    </a:stretch>
                  </pic:blipFill>
                  <pic:spPr>
                    <a:xfrm>
                      <a:off x="0" y="0"/>
                      <a:ext cx="2470785" cy="1840865"/>
                    </a:xfrm>
                    <a:prstGeom prst="rect">
                      <a:avLst/>
                    </a:prstGeom>
                  </pic:spPr>
                </pic:pic>
              </a:graphicData>
            </a:graphic>
          </wp:inline>
        </w:drawing>
      </w:r>
      <w:r>
        <w:rPr>
          <w:rFonts w:hint="eastAsia"/>
          <w:lang w:val="en-US" w:eastAsia="zh-CN"/>
        </w:rPr>
        <w:drawing>
          <wp:inline distT="0" distB="0" distL="114300" distR="114300">
            <wp:extent cx="2522855" cy="1836420"/>
            <wp:effectExtent l="0" t="0" r="1270" b="1905"/>
            <wp:docPr id="7" name="图片 7" descr="老年服务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老年服务中心"/>
                    <pic:cNvPicPr>
                      <a:picLocks noChangeAspect="1"/>
                    </pic:cNvPicPr>
                  </pic:nvPicPr>
                  <pic:blipFill>
                    <a:blip r:embed="rId15"/>
                    <a:stretch>
                      <a:fillRect/>
                    </a:stretch>
                  </pic:blipFill>
                  <pic:spPr>
                    <a:xfrm>
                      <a:off x="0" y="0"/>
                      <a:ext cx="2522855" cy="1836420"/>
                    </a:xfrm>
                    <a:prstGeom prst="rect">
                      <a:avLst/>
                    </a:prstGeom>
                  </pic:spPr>
                </pic:pic>
              </a:graphicData>
            </a:graphic>
          </wp:inline>
        </w:drawing>
      </w:r>
      <w:r>
        <w:rPr>
          <w:rFonts w:hint="eastAsia"/>
          <w:lang w:val="en-US" w:eastAsia="zh-CN"/>
        </w:rPr>
        <w:drawing>
          <wp:inline distT="0" distB="0" distL="114300" distR="114300">
            <wp:extent cx="2499360" cy="1833245"/>
            <wp:effectExtent l="0" t="0" r="5715" b="5080"/>
            <wp:docPr id="13" name="图片 13" descr="承留镇敬老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承留镇敬老院"/>
                    <pic:cNvPicPr>
                      <a:picLocks noChangeAspect="1"/>
                    </pic:cNvPicPr>
                  </pic:nvPicPr>
                  <pic:blipFill>
                    <a:blip r:embed="rId16"/>
                    <a:stretch>
                      <a:fillRect/>
                    </a:stretch>
                  </pic:blipFill>
                  <pic:spPr>
                    <a:xfrm>
                      <a:off x="0" y="0"/>
                      <a:ext cx="2499360" cy="1833245"/>
                    </a:xfrm>
                    <a:prstGeom prst="rect">
                      <a:avLst/>
                    </a:prstGeom>
                  </pic:spPr>
                </pic:pic>
              </a:graphicData>
            </a:graphic>
          </wp:inline>
        </w:drawing>
      </w:r>
      <w:r>
        <w:rPr>
          <w:rFonts w:hint="eastAsia"/>
          <w:lang w:val="en-US" w:eastAsia="zh-CN"/>
        </w:rPr>
        <w:drawing>
          <wp:inline distT="0" distB="0" distL="114300" distR="114300">
            <wp:extent cx="2569210" cy="1841500"/>
            <wp:effectExtent l="0" t="0" r="2540" b="6350"/>
            <wp:docPr id="23" name="图片 23" descr="2021_03_13_15_46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1_03_13_15_46_47"/>
                    <pic:cNvPicPr>
                      <a:picLocks noChangeAspect="1"/>
                    </pic:cNvPicPr>
                  </pic:nvPicPr>
                  <pic:blipFill>
                    <a:blip r:embed="rId17"/>
                    <a:stretch>
                      <a:fillRect/>
                    </a:stretch>
                  </pic:blipFill>
                  <pic:spPr>
                    <a:xfrm>
                      <a:off x="0" y="0"/>
                      <a:ext cx="2569210" cy="1841500"/>
                    </a:xfrm>
                    <a:prstGeom prst="rect">
                      <a:avLst/>
                    </a:prstGeom>
                  </pic:spPr>
                </pic:pic>
              </a:graphicData>
            </a:graphic>
          </wp:inline>
        </w:drawing>
      </w:r>
      <w:r>
        <w:rPr>
          <w:rFonts w:hint="eastAsia"/>
          <w:lang w:val="en-US" w:eastAsia="zh-CN"/>
        </w:rPr>
        <w:drawing>
          <wp:inline distT="0" distB="0" distL="114300" distR="114300">
            <wp:extent cx="2451735" cy="1840230"/>
            <wp:effectExtent l="0" t="0" r="5715" b="7620"/>
            <wp:docPr id="18" name="图片 18" descr="2021_03_16_10_17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1_03_16_10_17_33"/>
                    <pic:cNvPicPr>
                      <a:picLocks noChangeAspect="1"/>
                    </pic:cNvPicPr>
                  </pic:nvPicPr>
                  <pic:blipFill>
                    <a:blip r:embed="rId18"/>
                    <a:stretch>
                      <a:fillRect/>
                    </a:stretch>
                  </pic:blipFill>
                  <pic:spPr>
                    <a:xfrm>
                      <a:off x="0" y="0"/>
                      <a:ext cx="2451735" cy="1840230"/>
                    </a:xfrm>
                    <a:prstGeom prst="rect">
                      <a:avLst/>
                    </a:prstGeom>
                  </pic:spPr>
                </pic:pic>
              </a:graphicData>
            </a:graphic>
          </wp:inline>
        </w:drawing>
      </w:r>
    </w:p>
    <w:p>
      <w:pPr>
        <w:spacing w:line="240" w:lineRule="auto"/>
        <w:jc w:val="center"/>
        <w:rPr>
          <w:rFonts w:hint="eastAsia"/>
          <w:lang w:val="en-US" w:eastAsia="zh-CN"/>
        </w:rPr>
      </w:pPr>
      <w:r>
        <w:rPr>
          <w:rFonts w:hint="eastAsia"/>
          <w:lang w:val="en-US" w:eastAsia="zh-CN"/>
        </w:rPr>
        <w:t>查看养老机构管理制度、服务档案等</w:t>
      </w:r>
    </w:p>
    <w:p>
      <w:pPr>
        <w:jc w:val="center"/>
        <w:rPr>
          <w:rFonts w:hint="eastAsia"/>
          <w:lang w:val="en-US" w:eastAsia="zh-CN"/>
        </w:rPr>
      </w:pPr>
      <w:r>
        <w:rPr>
          <w:rFonts w:hint="eastAsia"/>
          <w:lang w:val="en-US" w:eastAsia="zh-CN"/>
        </w:rPr>
        <w:drawing>
          <wp:inline distT="0" distB="0" distL="114300" distR="114300">
            <wp:extent cx="1874520" cy="2499995"/>
            <wp:effectExtent l="0" t="0" r="5080" b="1905"/>
            <wp:docPr id="17" name="图片 17" descr="2021_03_15_16_10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1_03_15_16_10_21"/>
                    <pic:cNvPicPr>
                      <a:picLocks noChangeAspect="1"/>
                    </pic:cNvPicPr>
                  </pic:nvPicPr>
                  <pic:blipFill>
                    <a:blip r:embed="rId19"/>
                    <a:stretch>
                      <a:fillRect/>
                    </a:stretch>
                  </pic:blipFill>
                  <pic:spPr>
                    <a:xfrm rot="5400000">
                      <a:off x="0" y="0"/>
                      <a:ext cx="1874520" cy="2499995"/>
                    </a:xfrm>
                    <a:prstGeom prst="rect">
                      <a:avLst/>
                    </a:prstGeom>
                  </pic:spPr>
                </pic:pic>
              </a:graphicData>
            </a:graphic>
          </wp:inline>
        </w:drawing>
      </w:r>
      <w:r>
        <w:rPr>
          <w:rFonts w:hint="eastAsia"/>
          <w:lang w:val="en-US" w:eastAsia="zh-CN"/>
        </w:rPr>
        <w:drawing>
          <wp:inline distT="0" distB="0" distL="114300" distR="114300">
            <wp:extent cx="2508885" cy="1882775"/>
            <wp:effectExtent l="0" t="0" r="5715" b="3175"/>
            <wp:docPr id="29" name="图片 29" descr="2021_03_11_17_09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1_03_11_17_09_43"/>
                    <pic:cNvPicPr>
                      <a:picLocks noChangeAspect="1"/>
                    </pic:cNvPicPr>
                  </pic:nvPicPr>
                  <pic:blipFill>
                    <a:blip r:embed="rId20"/>
                    <a:stretch>
                      <a:fillRect/>
                    </a:stretch>
                  </pic:blipFill>
                  <pic:spPr>
                    <a:xfrm>
                      <a:off x="0" y="0"/>
                      <a:ext cx="2508885" cy="1882775"/>
                    </a:xfrm>
                    <a:prstGeom prst="rect">
                      <a:avLst/>
                    </a:prstGeom>
                  </pic:spPr>
                </pic:pic>
              </a:graphicData>
            </a:graphic>
          </wp:inline>
        </w:drawing>
      </w:r>
      <w:r>
        <w:rPr>
          <w:rFonts w:hint="eastAsia"/>
          <w:lang w:val="en-US" w:eastAsia="zh-CN"/>
        </w:rPr>
        <w:drawing>
          <wp:inline distT="0" distB="0" distL="114300" distR="114300">
            <wp:extent cx="3219450" cy="2397760"/>
            <wp:effectExtent l="0" t="0" r="0" b="2540"/>
            <wp:docPr id="22" name="图片 22" descr="2021_03_14_10_1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1_03_14_10_14_12"/>
                    <pic:cNvPicPr>
                      <a:picLocks noChangeAspect="1"/>
                    </pic:cNvPicPr>
                  </pic:nvPicPr>
                  <pic:blipFill>
                    <a:blip r:embed="rId21"/>
                    <a:stretch>
                      <a:fillRect/>
                    </a:stretch>
                  </pic:blipFill>
                  <pic:spPr>
                    <a:xfrm>
                      <a:off x="0" y="0"/>
                      <a:ext cx="3219450" cy="2397760"/>
                    </a:xfrm>
                    <a:prstGeom prst="rect">
                      <a:avLst/>
                    </a:prstGeom>
                  </pic:spPr>
                </pic:pic>
              </a:graphicData>
            </a:graphic>
          </wp:inline>
        </w:drawing>
      </w:r>
      <w:r>
        <w:rPr>
          <w:rFonts w:hint="eastAsia"/>
          <w:lang w:val="en-US" w:eastAsia="zh-CN"/>
        </w:rPr>
        <w:drawing>
          <wp:inline distT="0" distB="0" distL="114300" distR="114300">
            <wp:extent cx="1790700" cy="2388870"/>
            <wp:effectExtent l="0" t="0" r="0" b="1905"/>
            <wp:docPr id="21" name="图片 21" descr="2021_03_14_14_13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1_03_14_14_13_34"/>
                    <pic:cNvPicPr>
                      <a:picLocks noChangeAspect="1"/>
                    </pic:cNvPicPr>
                  </pic:nvPicPr>
                  <pic:blipFill>
                    <a:blip r:embed="rId22"/>
                    <a:stretch>
                      <a:fillRect/>
                    </a:stretch>
                  </pic:blipFill>
                  <pic:spPr>
                    <a:xfrm>
                      <a:off x="0" y="0"/>
                      <a:ext cx="1790700" cy="2388870"/>
                    </a:xfrm>
                    <a:prstGeom prst="rect">
                      <a:avLst/>
                    </a:prstGeom>
                  </pic:spPr>
                </pic:pic>
              </a:graphicData>
            </a:graphic>
          </wp:inline>
        </w:drawing>
      </w:r>
    </w:p>
    <w:p>
      <w:pPr>
        <w:jc w:val="center"/>
        <w:rPr>
          <w:rFonts w:hint="eastAsia"/>
          <w:lang w:val="en-US" w:eastAsia="zh-CN"/>
        </w:rPr>
      </w:pPr>
      <w:r>
        <w:rPr>
          <w:rFonts w:hint="eastAsia"/>
          <w:lang w:val="en-US" w:eastAsia="zh-CN"/>
        </w:rPr>
        <w:drawing>
          <wp:inline distT="0" distB="0" distL="114300" distR="114300">
            <wp:extent cx="3264535" cy="2322830"/>
            <wp:effectExtent l="0" t="0" r="2540" b="1270"/>
            <wp:docPr id="20" name="图片 20" descr="2021_03_14_16_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1_03_14_16_11_00"/>
                    <pic:cNvPicPr>
                      <a:picLocks noChangeAspect="1"/>
                    </pic:cNvPicPr>
                  </pic:nvPicPr>
                  <pic:blipFill>
                    <a:blip r:embed="rId23"/>
                    <a:stretch>
                      <a:fillRect/>
                    </a:stretch>
                  </pic:blipFill>
                  <pic:spPr>
                    <a:xfrm>
                      <a:off x="0" y="0"/>
                      <a:ext cx="3264535" cy="2322830"/>
                    </a:xfrm>
                    <a:prstGeom prst="rect">
                      <a:avLst/>
                    </a:prstGeom>
                  </pic:spPr>
                </pic:pic>
              </a:graphicData>
            </a:graphic>
          </wp:inline>
        </w:drawing>
      </w:r>
      <w:r>
        <w:rPr>
          <w:rFonts w:hint="eastAsia"/>
          <w:lang w:val="en-US" w:eastAsia="zh-CN"/>
        </w:rPr>
        <w:drawing>
          <wp:inline distT="0" distB="0" distL="114300" distR="114300">
            <wp:extent cx="1742440" cy="2323465"/>
            <wp:effectExtent l="0" t="0" r="635" b="635"/>
            <wp:docPr id="19" name="图片 19" descr="2021_03_14_16_15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1_03_14_16_15_30"/>
                    <pic:cNvPicPr>
                      <a:picLocks noChangeAspect="1"/>
                    </pic:cNvPicPr>
                  </pic:nvPicPr>
                  <pic:blipFill>
                    <a:blip r:embed="rId24"/>
                    <a:stretch>
                      <a:fillRect/>
                    </a:stretch>
                  </pic:blipFill>
                  <pic:spPr>
                    <a:xfrm>
                      <a:off x="0" y="0"/>
                      <a:ext cx="1742440" cy="2323465"/>
                    </a:xfrm>
                    <a:prstGeom prst="rect">
                      <a:avLst/>
                    </a:prstGeom>
                  </pic:spPr>
                </pic:pic>
              </a:graphicData>
            </a:graphic>
          </wp:inline>
        </w:drawing>
      </w:r>
    </w:p>
    <w:p>
      <w:pPr>
        <w:spacing w:line="360" w:lineRule="auto"/>
        <w:jc w:val="center"/>
        <w:rPr>
          <w:rFonts w:hint="eastAsia"/>
          <w:lang w:val="en-US" w:eastAsia="zh-CN"/>
        </w:rPr>
      </w:pPr>
      <w:r>
        <w:rPr>
          <w:rFonts w:hint="eastAsia"/>
          <w:lang w:val="en-US" w:eastAsia="zh-CN"/>
        </w:rPr>
        <w:t>查看养老机构环境、设施设备情况</w:t>
      </w:r>
    </w:p>
    <w:p>
      <w:pPr>
        <w:jc w:val="center"/>
        <w:rPr>
          <w:rFonts w:hint="eastAsia"/>
          <w:lang w:val="en-US" w:eastAsia="zh-CN"/>
        </w:rPr>
      </w:pPr>
      <w:r>
        <w:rPr>
          <w:rFonts w:hint="eastAsia"/>
          <w:lang w:val="en-US" w:eastAsia="zh-CN"/>
        </w:rPr>
        <w:drawing>
          <wp:inline distT="0" distB="0" distL="114300" distR="114300">
            <wp:extent cx="2515235" cy="1860550"/>
            <wp:effectExtent l="0" t="0" r="8890" b="6350"/>
            <wp:docPr id="28" name="图片 28" descr="2021_03_12_10_18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1_03_12_10_18_51"/>
                    <pic:cNvPicPr>
                      <a:picLocks noChangeAspect="1"/>
                    </pic:cNvPicPr>
                  </pic:nvPicPr>
                  <pic:blipFill>
                    <a:blip r:embed="rId25"/>
                    <a:stretch>
                      <a:fillRect/>
                    </a:stretch>
                  </pic:blipFill>
                  <pic:spPr>
                    <a:xfrm>
                      <a:off x="0" y="0"/>
                      <a:ext cx="2515235" cy="1860550"/>
                    </a:xfrm>
                    <a:prstGeom prst="rect">
                      <a:avLst/>
                    </a:prstGeom>
                  </pic:spPr>
                </pic:pic>
              </a:graphicData>
            </a:graphic>
          </wp:inline>
        </w:drawing>
      </w:r>
      <w:r>
        <w:rPr>
          <w:rFonts w:hint="eastAsia"/>
          <w:lang w:val="en-US" w:eastAsia="zh-CN"/>
        </w:rPr>
        <w:drawing>
          <wp:inline distT="0" distB="0" distL="114300" distR="114300">
            <wp:extent cx="2474595" cy="1856740"/>
            <wp:effectExtent l="0" t="0" r="1905" b="635"/>
            <wp:docPr id="27" name="图片 27" descr="2021_03_12_14_52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1_03_12_14_52_35"/>
                    <pic:cNvPicPr>
                      <a:picLocks noChangeAspect="1"/>
                    </pic:cNvPicPr>
                  </pic:nvPicPr>
                  <pic:blipFill>
                    <a:blip r:embed="rId26"/>
                    <a:stretch>
                      <a:fillRect/>
                    </a:stretch>
                  </pic:blipFill>
                  <pic:spPr>
                    <a:xfrm>
                      <a:off x="0" y="0"/>
                      <a:ext cx="2474595" cy="1856740"/>
                    </a:xfrm>
                    <a:prstGeom prst="rect">
                      <a:avLst/>
                    </a:prstGeom>
                  </pic:spPr>
                </pic:pic>
              </a:graphicData>
            </a:graphic>
          </wp:inline>
        </w:drawing>
      </w:r>
      <w:r>
        <w:rPr>
          <w:rFonts w:hint="eastAsia"/>
          <w:lang w:val="en-US" w:eastAsia="zh-CN"/>
        </w:rPr>
        <w:drawing>
          <wp:inline distT="0" distB="0" distL="114300" distR="114300">
            <wp:extent cx="2527300" cy="1895475"/>
            <wp:effectExtent l="0" t="0" r="6350" b="0"/>
            <wp:docPr id="26" name="图片 26" descr="2021_03_12_15_1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1_03_12_15_18_04"/>
                    <pic:cNvPicPr>
                      <a:picLocks noChangeAspect="1"/>
                    </pic:cNvPicPr>
                  </pic:nvPicPr>
                  <pic:blipFill>
                    <a:blip r:embed="rId27"/>
                    <a:stretch>
                      <a:fillRect/>
                    </a:stretch>
                  </pic:blipFill>
                  <pic:spPr>
                    <a:xfrm>
                      <a:off x="0" y="0"/>
                      <a:ext cx="2527300" cy="1895475"/>
                    </a:xfrm>
                    <a:prstGeom prst="rect">
                      <a:avLst/>
                    </a:prstGeom>
                  </pic:spPr>
                </pic:pic>
              </a:graphicData>
            </a:graphic>
          </wp:inline>
        </w:drawing>
      </w:r>
      <w:r>
        <w:rPr>
          <w:rFonts w:hint="eastAsia"/>
          <w:lang w:val="en-US" w:eastAsia="zh-CN"/>
        </w:rPr>
        <w:drawing>
          <wp:inline distT="0" distB="0" distL="114300" distR="114300">
            <wp:extent cx="2501900" cy="1876425"/>
            <wp:effectExtent l="0" t="0" r="3175" b="0"/>
            <wp:docPr id="25" name="图片 25" descr="2021_03_13_09_45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1_03_13_09_45_40"/>
                    <pic:cNvPicPr>
                      <a:picLocks noChangeAspect="1"/>
                    </pic:cNvPicPr>
                  </pic:nvPicPr>
                  <pic:blipFill>
                    <a:blip r:embed="rId28"/>
                    <a:stretch>
                      <a:fillRect/>
                    </a:stretch>
                  </pic:blipFill>
                  <pic:spPr>
                    <a:xfrm>
                      <a:off x="0" y="0"/>
                      <a:ext cx="2501900" cy="1876425"/>
                    </a:xfrm>
                    <a:prstGeom prst="rect">
                      <a:avLst/>
                    </a:prstGeom>
                  </pic:spPr>
                </pic:pic>
              </a:graphicData>
            </a:graphic>
          </wp:inline>
        </w:drawing>
      </w:r>
    </w:p>
    <w:p>
      <w:pPr>
        <w:jc w:val="center"/>
        <w:rPr>
          <w:rFonts w:hint="eastAsia"/>
          <w:lang w:val="en-US" w:eastAsia="zh-CN"/>
        </w:rPr>
      </w:pPr>
      <w:r>
        <w:rPr>
          <w:rFonts w:hint="eastAsia"/>
          <w:lang w:val="en-US" w:eastAsia="zh-CN"/>
        </w:rPr>
        <w:drawing>
          <wp:inline distT="0" distB="0" distL="114300" distR="114300">
            <wp:extent cx="2510790" cy="1884045"/>
            <wp:effectExtent l="0" t="0" r="3810" b="1905"/>
            <wp:docPr id="9" name="图片 9" descr="老来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老来乐"/>
                    <pic:cNvPicPr>
                      <a:picLocks noChangeAspect="1"/>
                    </pic:cNvPicPr>
                  </pic:nvPicPr>
                  <pic:blipFill>
                    <a:blip r:embed="rId29"/>
                    <a:stretch>
                      <a:fillRect/>
                    </a:stretch>
                  </pic:blipFill>
                  <pic:spPr>
                    <a:xfrm>
                      <a:off x="0" y="0"/>
                      <a:ext cx="2510790" cy="1884045"/>
                    </a:xfrm>
                    <a:prstGeom prst="rect">
                      <a:avLst/>
                    </a:prstGeom>
                  </pic:spPr>
                </pic:pic>
              </a:graphicData>
            </a:graphic>
          </wp:inline>
        </w:drawing>
      </w:r>
      <w:r>
        <w:rPr>
          <w:rFonts w:hint="eastAsia"/>
          <w:lang w:val="en-US" w:eastAsia="zh-CN"/>
        </w:rPr>
        <w:drawing>
          <wp:inline distT="0" distB="0" distL="114300" distR="114300">
            <wp:extent cx="2501900" cy="1877060"/>
            <wp:effectExtent l="0" t="0" r="3175" b="8890"/>
            <wp:docPr id="11" name="图片 11" descr="静安养老护理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静安养老护理院"/>
                    <pic:cNvPicPr>
                      <a:picLocks noChangeAspect="1"/>
                    </pic:cNvPicPr>
                  </pic:nvPicPr>
                  <pic:blipFill>
                    <a:blip r:embed="rId30"/>
                    <a:stretch>
                      <a:fillRect/>
                    </a:stretch>
                  </pic:blipFill>
                  <pic:spPr>
                    <a:xfrm>
                      <a:off x="0" y="0"/>
                      <a:ext cx="2501900" cy="1877060"/>
                    </a:xfrm>
                    <a:prstGeom prst="rect">
                      <a:avLst/>
                    </a:prstGeom>
                  </pic:spPr>
                </pic:pic>
              </a:graphicData>
            </a:graphic>
          </wp:inline>
        </w:drawing>
      </w:r>
    </w:p>
    <w:p>
      <w:pPr>
        <w:spacing w:line="360" w:lineRule="auto"/>
        <w:jc w:val="center"/>
        <w:rPr>
          <w:rFonts w:hint="eastAsia"/>
          <w:lang w:val="en-US" w:eastAsia="zh-CN"/>
        </w:rPr>
      </w:pPr>
      <w:r>
        <w:rPr>
          <w:rFonts w:hint="eastAsia"/>
          <w:lang w:val="en-US" w:eastAsia="zh-CN"/>
        </w:rPr>
        <w:t>现场测距测温</w:t>
      </w:r>
    </w:p>
    <w:p>
      <w:pPr>
        <w:jc w:val="center"/>
        <w:rPr>
          <w:rFonts w:hint="eastAsia"/>
          <w:lang w:val="en-US" w:eastAsia="zh-CN"/>
        </w:rPr>
      </w:pPr>
      <w:r>
        <w:rPr>
          <w:rFonts w:hint="eastAsia"/>
          <w:lang w:val="en-US" w:eastAsia="zh-CN"/>
        </w:rPr>
        <w:drawing>
          <wp:inline distT="0" distB="0" distL="114300" distR="114300">
            <wp:extent cx="1094105" cy="1459865"/>
            <wp:effectExtent l="0" t="0" r="1270" b="6985"/>
            <wp:docPr id="15" name="图片 15" descr="2021_03_15_16_2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1_03_15_16_24_16"/>
                    <pic:cNvPicPr>
                      <a:picLocks noChangeAspect="1"/>
                    </pic:cNvPicPr>
                  </pic:nvPicPr>
                  <pic:blipFill>
                    <a:blip r:embed="rId31"/>
                    <a:stretch>
                      <a:fillRect/>
                    </a:stretch>
                  </pic:blipFill>
                  <pic:spPr>
                    <a:xfrm>
                      <a:off x="0" y="0"/>
                      <a:ext cx="1094105" cy="1459865"/>
                    </a:xfrm>
                    <a:prstGeom prst="rect">
                      <a:avLst/>
                    </a:prstGeom>
                  </pic:spPr>
                </pic:pic>
              </a:graphicData>
            </a:graphic>
          </wp:inline>
        </w:drawing>
      </w:r>
      <w:r>
        <w:rPr>
          <w:rFonts w:hint="eastAsia"/>
          <w:lang w:val="en-US" w:eastAsia="zh-CN"/>
        </w:rPr>
        <w:drawing>
          <wp:inline distT="0" distB="0" distL="114300" distR="114300">
            <wp:extent cx="1945640" cy="1459230"/>
            <wp:effectExtent l="0" t="0" r="6985" b="7620"/>
            <wp:docPr id="30" name="图片 30" descr="2021_03_11_11_30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1_03_11_11_30_24"/>
                    <pic:cNvPicPr>
                      <a:picLocks noChangeAspect="1"/>
                    </pic:cNvPicPr>
                  </pic:nvPicPr>
                  <pic:blipFill>
                    <a:blip r:embed="rId32"/>
                    <a:stretch>
                      <a:fillRect/>
                    </a:stretch>
                  </pic:blipFill>
                  <pic:spPr>
                    <a:xfrm>
                      <a:off x="0" y="0"/>
                      <a:ext cx="1945640" cy="1459230"/>
                    </a:xfrm>
                    <a:prstGeom prst="rect">
                      <a:avLst/>
                    </a:prstGeom>
                  </pic:spPr>
                </pic:pic>
              </a:graphicData>
            </a:graphic>
          </wp:inline>
        </w:drawing>
      </w:r>
      <w:r>
        <w:rPr>
          <w:rFonts w:hint="eastAsia"/>
          <w:lang w:val="en-US" w:eastAsia="zh-CN"/>
        </w:rPr>
        <w:drawing>
          <wp:inline distT="0" distB="0" distL="114300" distR="114300">
            <wp:extent cx="1961515" cy="1472565"/>
            <wp:effectExtent l="0" t="0" r="635" b="3810"/>
            <wp:docPr id="24" name="图片 24" descr="2021_03_13_10_56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1_03_13_10_56_33"/>
                    <pic:cNvPicPr>
                      <a:picLocks noChangeAspect="1"/>
                    </pic:cNvPicPr>
                  </pic:nvPicPr>
                  <pic:blipFill>
                    <a:blip r:embed="rId33"/>
                    <a:stretch>
                      <a:fillRect/>
                    </a:stretch>
                  </pic:blipFill>
                  <pic:spPr>
                    <a:xfrm>
                      <a:off x="0" y="0"/>
                      <a:ext cx="1961515" cy="1472565"/>
                    </a:xfrm>
                    <a:prstGeom prst="rect">
                      <a:avLst/>
                    </a:prstGeom>
                  </pic:spPr>
                </pic:pic>
              </a:graphicData>
            </a:graphic>
          </wp:inline>
        </w:drawing>
      </w:r>
    </w:p>
    <w:p>
      <w:pPr>
        <w:spacing w:line="360" w:lineRule="auto"/>
        <w:jc w:val="center"/>
        <w:rPr>
          <w:rFonts w:hint="eastAsia"/>
          <w:lang w:val="en-US" w:eastAsia="zh-CN"/>
        </w:rPr>
      </w:pPr>
      <w:r>
        <w:rPr>
          <w:rFonts w:hint="eastAsia"/>
          <w:lang w:val="en-US" w:eastAsia="zh-CN"/>
        </w:rPr>
        <w:t>现场询问老人</w:t>
      </w:r>
    </w:p>
    <w:p>
      <w:pPr>
        <w:pStyle w:val="6"/>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643" w:firstLineChars="200"/>
        <w:jc w:val="both"/>
        <w:textAlignment w:val="auto"/>
        <w:outlineLvl w:val="0"/>
        <w:rPr>
          <w:rFonts w:hint="eastAsia"/>
          <w:sz w:val="32"/>
          <w:szCs w:val="20"/>
          <w:lang w:val="en-US" w:eastAsia="zh-CN"/>
        </w:rPr>
      </w:pPr>
      <w:bookmarkStart w:id="7" w:name="_Toc31224"/>
      <w:r>
        <w:rPr>
          <w:rFonts w:hint="eastAsia"/>
          <w:sz w:val="32"/>
          <w:szCs w:val="20"/>
          <w:lang w:val="en-US" w:eastAsia="zh-CN"/>
        </w:rPr>
        <w:t>等级评定结果</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lang w:val="en-US" w:eastAsia="zh-CN"/>
        </w:rPr>
      </w:pPr>
      <w:r>
        <w:rPr>
          <w:rFonts w:hint="eastAsia" w:ascii="仿宋" w:hAnsi="仿宋" w:eastAsia="仿宋" w:cs="仿宋"/>
          <w:b w:val="0"/>
          <w:bCs w:val="0"/>
          <w:kern w:val="0"/>
          <w:sz w:val="32"/>
          <w:szCs w:val="32"/>
          <w:lang w:val="en-US" w:eastAsia="zh-CN"/>
        </w:rPr>
        <w:t>本次参与济源产城融合示范区养老机构等级划分与评定共计17家，各养老机构等级评定总分和分项得分具体如下：</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（1）总分和分项得分达到三级要求的有3家。</w:t>
      </w:r>
    </w:p>
    <w:tbl>
      <w:tblPr>
        <w:tblStyle w:val="22"/>
        <w:tblW w:w="8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99"/>
        <w:gridCol w:w="1017"/>
        <w:gridCol w:w="766"/>
        <w:gridCol w:w="766"/>
        <w:gridCol w:w="766"/>
        <w:gridCol w:w="766"/>
        <w:gridCol w:w="766"/>
        <w:gridCol w:w="766"/>
        <w:gridCol w:w="766"/>
        <w:gridCol w:w="766"/>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58" w:hRule="atLeast"/>
          <w:jc w:val="center"/>
        </w:trPr>
        <w:tc>
          <w:tcPr>
            <w:tcW w:w="59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序号</w:t>
            </w:r>
          </w:p>
        </w:tc>
        <w:tc>
          <w:tcPr>
            <w:tcW w:w="101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养老机构名称</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环境</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得分比例</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设施</w:t>
            </w:r>
          </w:p>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设备</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得分比例</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运营</w:t>
            </w:r>
          </w:p>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管理</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得分比例</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服务</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得分比例</w:t>
            </w:r>
          </w:p>
        </w:tc>
        <w:tc>
          <w:tcPr>
            <w:tcW w:w="7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sz w:val="16"/>
                <w:szCs w:val="16"/>
                <w:u w:val="none"/>
              </w:rPr>
            </w:pPr>
            <w:r>
              <w:rPr>
                <w:rFonts w:hint="eastAsia" w:ascii="宋体" w:hAnsi="宋体" w:eastAsia="宋体" w:cs="宋体"/>
                <w:b/>
                <w:bCs w:val="0"/>
                <w:i w:val="0"/>
                <w:color w:val="000000"/>
                <w:kern w:val="0"/>
                <w:sz w:val="16"/>
                <w:szCs w:val="16"/>
                <w:u w:val="none"/>
                <w:lang w:val="en-US" w:eastAsia="zh-CN" w:bidi="ar"/>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58" w:hRule="atLeast"/>
          <w:jc w:val="center"/>
        </w:trPr>
        <w:tc>
          <w:tcPr>
            <w:tcW w:w="599" w:type="dxa"/>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1</w:t>
            </w:r>
          </w:p>
        </w:tc>
        <w:tc>
          <w:tcPr>
            <w:tcW w:w="101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康乐老年公寓</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104.5</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87.08%</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96.48 </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74.22%</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148</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98.67%</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454</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75.67%</w:t>
            </w:r>
          </w:p>
        </w:tc>
        <w:tc>
          <w:tcPr>
            <w:tcW w:w="77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802.98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58" w:hRule="atLeast"/>
          <w:jc w:val="center"/>
        </w:trPr>
        <w:tc>
          <w:tcPr>
            <w:tcW w:w="599" w:type="dxa"/>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2</w:t>
            </w:r>
          </w:p>
        </w:tc>
        <w:tc>
          <w:tcPr>
            <w:tcW w:w="101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6"/>
                <w:szCs w:val="16"/>
                <w:u w:val="none"/>
                <w:lang w:val="en-US" w:eastAsia="zh-CN" w:bidi="ar"/>
              </w:rPr>
              <w:t>中心敬老院</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i w:val="0"/>
                <w:color w:val="000000"/>
                <w:kern w:val="0"/>
                <w:sz w:val="16"/>
                <w:szCs w:val="16"/>
                <w:u w:val="none"/>
                <w:lang w:val="en-US" w:eastAsia="zh-CN" w:bidi="ar"/>
              </w:rPr>
              <w:t>101.5</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i w:val="0"/>
                <w:color w:val="000000"/>
                <w:kern w:val="0"/>
                <w:sz w:val="16"/>
                <w:szCs w:val="16"/>
                <w:u w:val="none"/>
                <w:lang w:val="en-US" w:eastAsia="zh-CN" w:bidi="ar"/>
              </w:rPr>
              <w:t>84.58%</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i w:val="0"/>
                <w:color w:val="000000"/>
                <w:kern w:val="0"/>
                <w:sz w:val="16"/>
                <w:szCs w:val="16"/>
                <w:u w:val="none"/>
                <w:lang w:val="en-US" w:eastAsia="zh-CN" w:bidi="ar"/>
              </w:rPr>
              <w:t>96</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i w:val="0"/>
                <w:color w:val="000000"/>
                <w:kern w:val="0"/>
                <w:sz w:val="16"/>
                <w:szCs w:val="16"/>
                <w:u w:val="none"/>
                <w:lang w:val="en-US" w:eastAsia="zh-CN" w:bidi="ar"/>
              </w:rPr>
              <w:t>73.85%</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i w:val="0"/>
                <w:color w:val="000000"/>
                <w:kern w:val="0"/>
                <w:sz w:val="16"/>
                <w:szCs w:val="16"/>
                <w:u w:val="none"/>
                <w:lang w:val="en-US" w:eastAsia="zh-CN" w:bidi="ar"/>
              </w:rPr>
              <w:t>142</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i w:val="0"/>
                <w:color w:val="000000"/>
                <w:kern w:val="0"/>
                <w:sz w:val="16"/>
                <w:szCs w:val="16"/>
                <w:u w:val="none"/>
                <w:lang w:val="en-US" w:eastAsia="zh-CN" w:bidi="ar"/>
              </w:rPr>
              <w:t>94.67%</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i w:val="0"/>
                <w:color w:val="000000"/>
                <w:kern w:val="0"/>
                <w:sz w:val="16"/>
                <w:szCs w:val="16"/>
                <w:u w:val="none"/>
                <w:lang w:val="en-US" w:eastAsia="zh-CN" w:bidi="ar"/>
              </w:rPr>
              <w:t>417.5</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i w:val="0"/>
                <w:color w:val="000000"/>
                <w:kern w:val="0"/>
                <w:sz w:val="16"/>
                <w:szCs w:val="16"/>
                <w:u w:val="none"/>
                <w:lang w:val="en-US" w:eastAsia="zh-CN" w:bidi="ar"/>
              </w:rPr>
              <w:t>69.58%</w:t>
            </w:r>
          </w:p>
        </w:tc>
        <w:tc>
          <w:tcPr>
            <w:tcW w:w="771"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6"/>
                <w:szCs w:val="16"/>
                <w:u w:val="none"/>
                <w:lang w:val="en-US" w:eastAsia="zh-CN" w:bidi="ar"/>
              </w:rPr>
              <w:t>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84" w:hRule="atLeast"/>
          <w:jc w:val="center"/>
        </w:trPr>
        <w:tc>
          <w:tcPr>
            <w:tcW w:w="599" w:type="dxa"/>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3</w:t>
            </w:r>
          </w:p>
        </w:tc>
        <w:tc>
          <w:tcPr>
            <w:tcW w:w="101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5"/>
                <w:szCs w:val="15"/>
                <w:u w:val="none"/>
                <w:lang w:val="en-US" w:eastAsia="zh-CN" w:bidi="ar"/>
              </w:rPr>
            </w:pPr>
            <w:r>
              <w:rPr>
                <w:rFonts w:hint="eastAsia" w:ascii="宋体" w:hAnsi="宋体" w:eastAsia="宋体" w:cs="宋体"/>
                <w:b w:val="0"/>
                <w:bCs/>
                <w:i w:val="0"/>
                <w:color w:val="000000"/>
                <w:kern w:val="0"/>
                <w:sz w:val="16"/>
                <w:szCs w:val="16"/>
                <w:u w:val="none"/>
                <w:lang w:val="en-US" w:eastAsia="zh-CN" w:bidi="ar"/>
              </w:rPr>
              <w:t>爱心敬老院</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102</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85.00%</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101</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77.69%</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139</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92.67%</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372.5</w:t>
            </w:r>
          </w:p>
        </w:tc>
        <w:tc>
          <w:tcPr>
            <w:tcW w:w="7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62.08%</w:t>
            </w:r>
          </w:p>
        </w:tc>
        <w:tc>
          <w:tcPr>
            <w:tcW w:w="77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highlight w:val="none"/>
                <w:u w:val="none"/>
                <w:lang w:val="en-US" w:eastAsia="zh-CN" w:bidi="ar"/>
              </w:rPr>
            </w:pPr>
            <w:r>
              <w:rPr>
                <w:rFonts w:hint="eastAsia" w:ascii="宋体" w:hAnsi="宋体" w:eastAsia="宋体" w:cs="宋体"/>
                <w:i w:val="0"/>
                <w:color w:val="000000"/>
                <w:kern w:val="0"/>
                <w:sz w:val="16"/>
                <w:szCs w:val="16"/>
                <w:highlight w:val="none"/>
                <w:u w:val="none"/>
                <w:lang w:val="en-US" w:eastAsia="zh-CN" w:bidi="ar"/>
              </w:rPr>
              <w:t>714.5</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firstLineChars="200"/>
        <w:jc w:val="both"/>
        <w:textAlignment w:val="auto"/>
        <w:outlineLvl w:val="9"/>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注：依据《养老机构等级划分与评定》标准，申请三级及以上的养老机构须提供康复服务。中心敬老院虽总分和各分项得分达到三级分值要求，但未提供康复服务，因此不能评定三级。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（2）总分和分项得分达到二级要求的有8家。</w:t>
      </w:r>
    </w:p>
    <w:tbl>
      <w:tblPr>
        <w:tblStyle w:val="22"/>
        <w:tblW w:w="817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81"/>
        <w:gridCol w:w="1062"/>
        <w:gridCol w:w="726"/>
        <w:gridCol w:w="726"/>
        <w:gridCol w:w="726"/>
        <w:gridCol w:w="726"/>
        <w:gridCol w:w="726"/>
        <w:gridCol w:w="726"/>
        <w:gridCol w:w="726"/>
        <w:gridCol w:w="726"/>
        <w:gridCol w:w="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39" w:hRule="atLeast"/>
          <w:tblHeader/>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序号</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养老机构名称</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b/>
                <w:bCs w:val="0"/>
                <w:i w:val="0"/>
                <w:color w:val="000000"/>
                <w:kern w:val="0"/>
                <w:sz w:val="16"/>
                <w:szCs w:val="16"/>
                <w:u w:val="none"/>
                <w:lang w:val="en-US" w:eastAsia="zh-CN" w:bidi="ar"/>
              </w:rPr>
              <w:t>环境</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设施</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设备</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运营</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管理</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服务</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总分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9"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大峪镇敬老院</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85.21</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71.01%</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50.00%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113.5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75.67%</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385.5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64.25%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649.21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9"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老年服务中心</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93.5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77.92%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95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73.08%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145.5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97.00%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308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51.33%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9"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下冶镇敬老院</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83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69.17%</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57.69%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119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79.33%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354</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59.00%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9"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王屋镇敬老院</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87.73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73.11%</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75.5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58.08%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112.5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75.00%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344.5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57.42%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9"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5</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邵原镇敬老院</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70.08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58.40%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70.5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54.23%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99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66.00%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372.5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62.08%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u w:val="none"/>
              </w:rPr>
            </w:pPr>
            <w:r>
              <w:rPr>
                <w:rFonts w:hint="eastAsia" w:ascii="宋体" w:hAnsi="宋体" w:eastAsia="宋体" w:cs="宋体"/>
                <w:b w:val="0"/>
                <w:bCs/>
                <w:i w:val="0"/>
                <w:color w:val="000000"/>
                <w:kern w:val="0"/>
                <w:sz w:val="16"/>
                <w:szCs w:val="16"/>
                <w:u w:val="none"/>
                <w:lang w:val="en-US" w:eastAsia="zh-CN" w:bidi="ar"/>
              </w:rPr>
              <w:t>612.08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9"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6</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曲阳湖老年</w:t>
            </w:r>
          </w:p>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公寓</w:t>
            </w:r>
            <w:r>
              <w:rPr>
                <w:rFonts w:hint="eastAsia" w:ascii="宋体" w:hAnsi="宋体" w:eastAsia="宋体" w:cs="宋体"/>
                <w:b w:val="0"/>
                <w:bCs/>
                <w:i w:val="0"/>
                <w:color w:val="000000"/>
                <w:kern w:val="0"/>
                <w:sz w:val="16"/>
                <w:szCs w:val="16"/>
                <w:highlight w:val="none"/>
                <w:u w:val="none"/>
                <w:lang w:val="en-US" w:eastAsia="zh-CN" w:bidi="ar"/>
              </w:rPr>
              <w:br w:type="textWrapping"/>
            </w:r>
            <w:r>
              <w:rPr>
                <w:rFonts w:hint="eastAsia" w:ascii="宋体" w:hAnsi="宋体" w:eastAsia="宋体" w:cs="宋体"/>
                <w:b w:val="0"/>
                <w:bCs/>
                <w:i w:val="0"/>
                <w:color w:val="000000"/>
                <w:kern w:val="0"/>
                <w:sz w:val="16"/>
                <w:szCs w:val="16"/>
                <w:highlight w:val="none"/>
                <w:u w:val="none"/>
                <w:lang w:val="en-US" w:eastAsia="zh-CN" w:bidi="ar"/>
              </w:rPr>
              <w:t>第一分院</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80.5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67.08%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84.65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65.12%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90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60.00%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342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57.00%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597.15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9"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7</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承留镇敬老院</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lang w:val="en-US"/>
              </w:rPr>
            </w:pPr>
            <w:r>
              <w:rPr>
                <w:rFonts w:hint="eastAsia" w:ascii="宋体" w:hAnsi="宋体" w:eastAsia="宋体" w:cs="宋体"/>
                <w:b w:val="0"/>
                <w:bCs/>
                <w:i w:val="0"/>
                <w:color w:val="000000"/>
                <w:kern w:val="0"/>
                <w:sz w:val="16"/>
                <w:szCs w:val="16"/>
                <w:highlight w:val="none"/>
                <w:u w:val="none"/>
                <w:lang w:val="en-US" w:eastAsia="zh-CN" w:bidi="ar"/>
              </w:rPr>
              <w:t>94.79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78.99%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74.14</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57.03%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92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61.33%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316.5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52.75%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lang w:val="en-US"/>
              </w:rPr>
            </w:pPr>
            <w:r>
              <w:rPr>
                <w:rFonts w:hint="eastAsia" w:ascii="宋体" w:hAnsi="宋体" w:eastAsia="宋体" w:cs="宋体"/>
                <w:b w:val="0"/>
                <w:bCs/>
                <w:i w:val="0"/>
                <w:color w:val="000000"/>
                <w:kern w:val="0"/>
                <w:sz w:val="16"/>
                <w:szCs w:val="16"/>
                <w:highlight w:val="none"/>
                <w:u w:val="none"/>
                <w:lang w:val="en-US" w:eastAsia="zh-CN" w:bidi="ar"/>
              </w:rPr>
              <w:t>577.43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65"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8</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6"/>
                <w:szCs w:val="16"/>
                <w:highlight w:val="none"/>
                <w:u w:val="none"/>
              </w:rPr>
            </w:pPr>
            <w:r>
              <w:rPr>
                <w:rFonts w:hint="eastAsia" w:ascii="宋体" w:hAnsi="宋体" w:eastAsia="宋体" w:cs="宋体"/>
                <w:b w:val="0"/>
                <w:bCs/>
                <w:i w:val="0"/>
                <w:color w:val="000000"/>
                <w:kern w:val="0"/>
                <w:sz w:val="16"/>
                <w:szCs w:val="16"/>
                <w:highlight w:val="none"/>
                <w:u w:val="none"/>
                <w:lang w:val="en-US" w:eastAsia="zh-CN" w:bidi="ar"/>
              </w:rPr>
              <w:t>柿槟老年公寓</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86.5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72.08%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69.54</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53.49%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95.5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63.67%</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302.5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50.42%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highlight w:val="none"/>
                <w:u w:val="none"/>
                <w:lang w:val="en-US" w:eastAsia="zh-CN" w:bidi="ar"/>
              </w:rPr>
            </w:pPr>
            <w:r>
              <w:rPr>
                <w:rFonts w:hint="eastAsia" w:ascii="宋体" w:hAnsi="宋体" w:eastAsia="宋体" w:cs="宋体"/>
                <w:b w:val="0"/>
                <w:bCs/>
                <w:i w:val="0"/>
                <w:color w:val="000000"/>
                <w:kern w:val="0"/>
                <w:sz w:val="16"/>
                <w:szCs w:val="16"/>
                <w:highlight w:val="none"/>
                <w:u w:val="none"/>
                <w:lang w:val="en-US" w:eastAsia="zh-CN" w:bidi="ar"/>
              </w:rPr>
              <w:t>554.04</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（3）总分和分项得分达到一级要求的有4家。</w:t>
      </w:r>
    </w:p>
    <w:tbl>
      <w:tblPr>
        <w:tblStyle w:val="22"/>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30"/>
        <w:gridCol w:w="1650"/>
        <w:gridCol w:w="683"/>
        <w:gridCol w:w="683"/>
        <w:gridCol w:w="683"/>
        <w:gridCol w:w="683"/>
        <w:gridCol w:w="683"/>
        <w:gridCol w:w="683"/>
        <w:gridCol w:w="683"/>
        <w:gridCol w:w="683"/>
        <w:gridCol w:w="6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09"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序号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养老机构名称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环境</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设施</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运营</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管理</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服务</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总分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09"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坡头镇敬老院</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73.61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61.34%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61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46.92%</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106</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70.67%</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354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59.00%</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594.61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09"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老来乐老年公寓</w:t>
            </w:r>
            <w:r>
              <w:rPr>
                <w:rFonts w:hint="eastAsia" w:ascii="宋体" w:hAnsi="宋体" w:eastAsia="宋体" w:cs="宋体"/>
                <w:b w:val="0"/>
                <w:bCs/>
                <w:i w:val="0"/>
                <w:color w:val="000000"/>
                <w:kern w:val="0"/>
                <w:sz w:val="16"/>
                <w:szCs w:val="16"/>
                <w:u w:val="none"/>
                <w:lang w:val="en-US" w:eastAsia="zh-CN" w:bidi="ar"/>
              </w:rPr>
              <w:br w:type="textWrapping"/>
            </w:r>
            <w:r>
              <w:rPr>
                <w:rFonts w:hint="eastAsia" w:ascii="宋体" w:hAnsi="宋体" w:eastAsia="宋体" w:cs="宋体"/>
                <w:b w:val="0"/>
                <w:bCs/>
                <w:i w:val="0"/>
                <w:color w:val="000000"/>
                <w:kern w:val="0"/>
                <w:sz w:val="16"/>
                <w:szCs w:val="16"/>
                <w:u w:val="none"/>
                <w:lang w:val="en-US" w:eastAsia="zh-CN" w:bidi="ar"/>
              </w:rPr>
              <w:t>（沁园）</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92.5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77.08%</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69.5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53.46%</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133</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88.67%</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275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45.83%</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09"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曲阳湖老年公寓</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73.5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61.25%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63.48</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48.83%</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87.5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58.33%</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324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54.00%</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548.48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26"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6"/>
                <w:szCs w:val="16"/>
                <w:u w:val="none"/>
                <w:lang w:val="en-US" w:eastAsia="zh-CN" w:bidi="ar"/>
              </w:rPr>
            </w:pPr>
            <w:r>
              <w:rPr>
                <w:rFonts w:hint="eastAsia" w:ascii="宋体" w:hAnsi="宋体" w:eastAsia="宋体" w:cs="宋体"/>
                <w:b w:val="0"/>
                <w:bCs/>
                <w:i w:val="0"/>
                <w:color w:val="000000"/>
                <w:kern w:val="0"/>
                <w:sz w:val="16"/>
                <w:szCs w:val="16"/>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今三养老年公寓</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79.5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66.25%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 xml:space="preserve">64.50 </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49.61%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107.5</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71.67%</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256</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42.67%</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3"/>
                <w:szCs w:val="13"/>
                <w:u w:val="none"/>
              </w:rPr>
            </w:pPr>
            <w:r>
              <w:rPr>
                <w:rFonts w:hint="eastAsia" w:ascii="宋体" w:hAnsi="宋体" w:eastAsia="宋体" w:cs="宋体"/>
                <w:b w:val="0"/>
                <w:bCs/>
                <w:i w:val="0"/>
                <w:color w:val="000000"/>
                <w:kern w:val="0"/>
                <w:sz w:val="16"/>
                <w:szCs w:val="16"/>
                <w:u w:val="none"/>
                <w:lang w:val="en-US" w:eastAsia="zh-CN" w:bidi="ar"/>
              </w:rPr>
              <w:t xml:space="preserve">507.50 </w:t>
            </w:r>
          </w:p>
        </w:tc>
      </w:tr>
    </w:tbl>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分项得分未达到一级要求的有2家。</w:t>
      </w:r>
    </w:p>
    <w:tbl>
      <w:tblPr>
        <w:tblStyle w:val="22"/>
        <w:tblW w:w="84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0"/>
        <w:gridCol w:w="1614"/>
        <w:gridCol w:w="684"/>
        <w:gridCol w:w="684"/>
        <w:gridCol w:w="684"/>
        <w:gridCol w:w="684"/>
        <w:gridCol w:w="684"/>
        <w:gridCol w:w="684"/>
        <w:gridCol w:w="684"/>
        <w:gridCol w:w="684"/>
        <w:gridCol w:w="6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12"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序号</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养老机构名称</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环境</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设施</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设备</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运营</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管理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服务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分项</w:t>
            </w:r>
          </w:p>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得分比例</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16"/>
                <w:szCs w:val="16"/>
                <w:u w:val="none"/>
                <w:lang w:val="en-US" w:eastAsia="zh-CN" w:bidi="ar"/>
              </w:rPr>
            </w:pPr>
            <w:r>
              <w:rPr>
                <w:rFonts w:hint="eastAsia" w:ascii="宋体" w:hAnsi="宋体" w:eastAsia="宋体" w:cs="宋体"/>
                <w:b/>
                <w:bCs w:val="0"/>
                <w:i w:val="0"/>
                <w:color w:val="000000"/>
                <w:kern w:val="0"/>
                <w:sz w:val="16"/>
                <w:szCs w:val="16"/>
                <w:u w:val="none"/>
                <w:lang w:val="en-US" w:eastAsia="zh-CN" w:bidi="ar"/>
              </w:rPr>
              <w:t>总分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12"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i w:val="0"/>
                <w:color w:val="000000"/>
                <w:kern w:val="0"/>
                <w:sz w:val="15"/>
                <w:szCs w:val="15"/>
                <w:u w:val="none"/>
                <w:lang w:val="en-US" w:eastAsia="zh-CN" w:bidi="ar"/>
              </w:rPr>
            </w:pPr>
            <w:r>
              <w:rPr>
                <w:rFonts w:hint="eastAsia" w:ascii="宋体" w:hAnsi="宋体" w:eastAsia="宋体" w:cs="宋体"/>
                <w:b w:val="0"/>
                <w:bCs/>
                <w:i w:val="0"/>
                <w:color w:val="000000"/>
                <w:kern w:val="0"/>
                <w:sz w:val="15"/>
                <w:szCs w:val="15"/>
                <w:u w:val="none"/>
                <w:lang w:val="en-US" w:eastAsia="zh-CN" w:bidi="ar"/>
              </w:rPr>
              <w:t>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老来乐老年公寓</w:t>
            </w:r>
            <w:r>
              <w:rPr>
                <w:rFonts w:hint="eastAsia" w:ascii="宋体" w:hAnsi="宋体" w:eastAsia="宋体" w:cs="宋体"/>
                <w:b w:val="0"/>
                <w:bCs/>
                <w:i w:val="0"/>
                <w:color w:val="000000"/>
                <w:kern w:val="0"/>
                <w:sz w:val="15"/>
                <w:szCs w:val="15"/>
                <w:u w:val="none"/>
                <w:lang w:val="en-US" w:eastAsia="zh-CN" w:bidi="ar"/>
              </w:rPr>
              <w:br w:type="textWrapping"/>
            </w:r>
            <w:r>
              <w:rPr>
                <w:rFonts w:hint="eastAsia" w:ascii="宋体" w:hAnsi="宋体" w:eastAsia="宋体" w:cs="宋体"/>
                <w:b w:val="0"/>
                <w:bCs/>
                <w:i w:val="0"/>
                <w:color w:val="000000"/>
                <w:kern w:val="0"/>
                <w:sz w:val="15"/>
                <w:szCs w:val="15"/>
                <w:u w:val="none"/>
                <w:lang w:val="en-US" w:eastAsia="zh-CN" w:bidi="ar"/>
              </w:rPr>
              <w:t>（北海）</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58.97</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49.14%</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 xml:space="preserve">47.60 </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36.61%</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132.5</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88.33%</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267</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44.50%</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 xml:space="preserve">506.06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12"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15"/>
                <w:szCs w:val="15"/>
                <w:u w:val="none"/>
                <w:lang w:val="en-US" w:eastAsia="zh-CN" w:bidi="ar"/>
              </w:rPr>
            </w:pPr>
            <w:r>
              <w:rPr>
                <w:rFonts w:hint="eastAsia" w:ascii="宋体" w:hAnsi="宋体" w:eastAsia="宋体" w:cs="宋体"/>
                <w:b w:val="0"/>
                <w:bCs/>
                <w:i w:val="0"/>
                <w:color w:val="000000"/>
                <w:kern w:val="0"/>
                <w:sz w:val="15"/>
                <w:szCs w:val="15"/>
                <w:u w:val="none"/>
                <w:lang w:val="en-US" w:eastAsia="zh-CN" w:bidi="ar"/>
              </w:rPr>
              <w:t>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静安养护院</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80.17</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66.81%</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66.02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50.78%</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63</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42.00%</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179</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29.83%</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sz w:val="15"/>
                <w:szCs w:val="15"/>
                <w:u w:val="none"/>
              </w:rPr>
            </w:pPr>
            <w:r>
              <w:rPr>
                <w:rFonts w:hint="eastAsia" w:ascii="宋体" w:hAnsi="宋体" w:eastAsia="宋体" w:cs="宋体"/>
                <w:b w:val="0"/>
                <w:bCs/>
                <w:i w:val="0"/>
                <w:color w:val="000000"/>
                <w:kern w:val="0"/>
                <w:sz w:val="15"/>
                <w:szCs w:val="15"/>
                <w:u w:val="none"/>
                <w:lang w:val="en-US" w:eastAsia="zh-CN" w:bidi="ar"/>
              </w:rPr>
              <w:t>388.19</w:t>
            </w:r>
          </w:p>
        </w:tc>
      </w:tr>
    </w:tbl>
    <w:p>
      <w:pPr>
        <w:pStyle w:val="2"/>
        <w:numPr>
          <w:ilvl w:val="0"/>
          <w:numId w:val="0"/>
        </w:num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需要指出的是，</w:t>
      </w:r>
      <w:r>
        <w:rPr>
          <w:rFonts w:hint="eastAsia" w:ascii="黑体" w:hAnsi="黑体" w:eastAsia="黑体" w:cs="黑体"/>
          <w:b/>
          <w:bCs/>
          <w:kern w:val="0"/>
          <w:sz w:val="32"/>
          <w:szCs w:val="32"/>
          <w:lang w:val="en-US" w:eastAsia="zh-CN"/>
        </w:rPr>
        <w:t>参评的17家养老机构</w:t>
      </w:r>
      <w:r>
        <w:rPr>
          <w:rFonts w:hint="eastAsia" w:ascii="黑体" w:hAnsi="黑体" w:eastAsia="黑体" w:cs="黑体"/>
          <w:b w:val="0"/>
          <w:bCs w:val="0"/>
          <w:kern w:val="0"/>
          <w:sz w:val="32"/>
          <w:szCs w:val="32"/>
          <w:lang w:val="en-US" w:eastAsia="zh-CN"/>
        </w:rPr>
        <w:t>，</w:t>
      </w:r>
      <w:r>
        <w:rPr>
          <w:rFonts w:hint="eastAsia" w:ascii="黑体" w:hAnsi="黑体" w:eastAsia="黑体" w:cs="黑体"/>
          <w:b/>
          <w:bCs/>
          <w:kern w:val="0"/>
          <w:sz w:val="32"/>
          <w:szCs w:val="32"/>
          <w:lang w:val="en-US" w:eastAsia="zh-CN"/>
        </w:rPr>
        <w:t>均有不符合《养老机构等级划分与评定》中基本要求与条件的情况</w:t>
      </w:r>
      <w:r>
        <w:rPr>
          <w:rFonts w:hint="eastAsia" w:ascii="黑体" w:hAnsi="黑体" w:eastAsia="黑体" w:cs="黑体"/>
          <w:b w:val="0"/>
          <w:bCs w:val="0"/>
          <w:kern w:val="0"/>
          <w:sz w:val="32"/>
          <w:szCs w:val="32"/>
          <w:lang w:val="en-US" w:eastAsia="zh-CN"/>
        </w:rPr>
        <w:t>，</w:t>
      </w:r>
      <w:r>
        <w:rPr>
          <w:rFonts w:hint="eastAsia" w:ascii="仿宋" w:hAnsi="仿宋" w:eastAsia="仿宋" w:cs="仿宋"/>
          <w:b w:val="0"/>
          <w:bCs w:val="0"/>
          <w:kern w:val="0"/>
          <w:sz w:val="32"/>
          <w:szCs w:val="32"/>
          <w:lang w:val="en-US" w:eastAsia="zh-CN"/>
        </w:rPr>
        <w:t>按照《实施指南》规定，可自动终止等级评定程序。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济源产城融合示范区作为河南省养老机构等级划分与评定的试点城市之一，在评定中应综合考虑河南省和济源产城融合示范区养老服务的整体水平。</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本次济源产城融合示范区等级划分与评定工作，本着以《养老机构等级划分与评定》实施指南（试行）标准为依据，结合当地实际情况开展养老机构等级评定工作的基本思路，不实行“不符合项自动终止评估程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根据客观现实，在标准一致的前提下，养老机构之间，既要体现等级评定的公平性，又要尊重做的较好的养老机构的努力。对于十七家养老机构的等级评定，我们结合评定得分，给出了等级评定建议。（详见济源产城融合示范区</w:t>
      </w:r>
      <w:r>
        <w:rPr>
          <w:rFonts w:hint="eastAsia" w:ascii="仿宋" w:hAnsi="仿宋" w:eastAsia="仿宋" w:cs="仿宋"/>
          <w:b w:val="0"/>
          <w:bCs w:val="0"/>
          <w:kern w:val="0"/>
          <w:sz w:val="32"/>
          <w:szCs w:val="32"/>
          <w:highlight w:val="none"/>
          <w:lang w:val="en-US" w:eastAsia="zh-CN"/>
        </w:rPr>
        <w:t>养老机构等级评定综合汇总表</w:t>
      </w:r>
      <w:r>
        <w:rPr>
          <w:rFonts w:hint="eastAsia" w:ascii="仿宋" w:hAnsi="仿宋" w:eastAsia="仿宋" w:cs="仿宋"/>
          <w:b w:val="0"/>
          <w:bCs w:val="0"/>
          <w:kern w:val="0"/>
          <w:sz w:val="32"/>
          <w:szCs w:val="32"/>
          <w:lang w:val="en-US" w:eastAsia="zh-CN"/>
        </w:rPr>
        <w:t>）。</w:t>
      </w:r>
      <w:bookmarkStart w:id="13" w:name="_GoBack"/>
      <w:bookmarkEnd w:id="13"/>
    </w:p>
    <w:p>
      <w:pPr>
        <w:pStyle w:val="4"/>
        <w:rPr>
          <w:rFonts w:hint="eastAsia" w:ascii="仿宋" w:hAnsi="仿宋" w:eastAsia="仿宋" w:cs="仿宋"/>
          <w:b w:val="0"/>
          <w:bCs w:val="0"/>
          <w:kern w:val="0"/>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3" w:firstLineChars="200"/>
        <w:jc w:val="both"/>
        <w:textAlignment w:val="auto"/>
        <w:outlineLvl w:val="9"/>
        <w:rPr>
          <w:rFonts w:hint="eastAsia"/>
          <w:b/>
          <w:bCs/>
          <w:highlight w:val="none"/>
          <w:lang w:val="en-US" w:eastAsia="zh-CN"/>
        </w:rPr>
      </w:pPr>
      <w:r>
        <w:rPr>
          <w:rFonts w:hint="eastAsia" w:ascii="仿宋" w:hAnsi="仿宋" w:eastAsia="仿宋" w:cs="仿宋"/>
          <w:b/>
          <w:bCs/>
          <w:kern w:val="0"/>
          <w:sz w:val="32"/>
          <w:szCs w:val="32"/>
          <w:highlight w:val="none"/>
          <w:lang w:val="en-US" w:eastAsia="zh-CN"/>
        </w:rPr>
        <w:t>附：济源产城融合示范区养老机构等级评定综合汇总表</w:t>
      </w:r>
    </w:p>
    <w:tbl>
      <w:tblPr>
        <w:tblStyle w:val="22"/>
        <w:tblW w:w="1416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2502"/>
        <w:gridCol w:w="1264"/>
        <w:gridCol w:w="8"/>
        <w:gridCol w:w="768"/>
        <w:gridCol w:w="110"/>
        <w:gridCol w:w="6"/>
        <w:gridCol w:w="8"/>
        <w:gridCol w:w="23"/>
        <w:gridCol w:w="25"/>
        <w:gridCol w:w="159"/>
        <w:gridCol w:w="57"/>
        <w:gridCol w:w="93"/>
        <w:gridCol w:w="1295"/>
        <w:gridCol w:w="45"/>
        <w:gridCol w:w="229"/>
        <w:gridCol w:w="156"/>
        <w:gridCol w:w="450"/>
        <w:gridCol w:w="1700"/>
        <w:gridCol w:w="3"/>
        <w:gridCol w:w="8"/>
        <w:gridCol w:w="1278"/>
        <w:gridCol w:w="1227"/>
        <w:gridCol w:w="1343"/>
        <w:gridCol w:w="6"/>
        <w:gridCol w:w="14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02" w:hRule="atLeast"/>
          <w:tblHeader/>
        </w:trPr>
        <w:tc>
          <w:tcPr>
            <w:tcW w:w="2502" w:type="dxa"/>
            <w:vMerge w:val="restart"/>
            <w:tcBorders>
              <w:tl2br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 xml:space="preserve">             分值结构</w:t>
            </w:r>
          </w:p>
          <w:p>
            <w:pPr>
              <w:keepNext w:val="0"/>
              <w:keepLines w:val="0"/>
              <w:widowControl/>
              <w:suppressLineNumbers w:val="0"/>
              <w:jc w:val="both"/>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机构名称                                                    </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环境</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得分比例</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设施设备</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得分比例</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运营管理</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得分比例</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服务</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得分比例</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总分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22" w:hRule="atLeast"/>
          <w:tblHeader/>
        </w:trPr>
        <w:tc>
          <w:tcPr>
            <w:tcW w:w="2502" w:type="dxa"/>
            <w:vMerge w:val="continue"/>
            <w:shd w:val="clear" w:color="auto" w:fill="auto"/>
            <w:vAlign w:val="center"/>
          </w:tcPr>
          <w:p>
            <w:pPr>
              <w:jc w:val="both"/>
              <w:rPr>
                <w:rFonts w:hint="eastAsia" w:ascii="宋体" w:hAnsi="宋体" w:eastAsia="宋体" w:cs="宋体"/>
                <w:b w:val="0"/>
                <w:bCs w:val="0"/>
                <w:i w:val="0"/>
                <w:iCs w:val="0"/>
                <w:color w:val="000000"/>
                <w:sz w:val="15"/>
                <w:szCs w:val="15"/>
                <w:u w:val="none"/>
              </w:rPr>
            </w:pP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120</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得分/120</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130</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得分/130</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150</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得分/150</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600</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得分/600</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157"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康乐老年公寓</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104.5</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87.08%</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96.48</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74.22%</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148</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98.67%</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454</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75.67%</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802.98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0"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1.4.1.6 建筑主要出入口内外留有进深≥1.50m的区域，便于人员等候及轮椅回转。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 卫生间门的开启净宽≥0.80m。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 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（2）外窗和开敞阳台设有安全防护措施；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 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（1）设有紧急呼叫装置或为老年人配备可穿戴紧急呼叫设备；（此项不符合）（2）设有洗手池和坐便器；（3）如厕区的必要位置设有扶手，扶手形式、位置合理，能够正常使用。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 公共卫生间如厕区设有扶手，且形式、位置合理。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（1）设有便于老年人使用的淋浴设备，且配有易于识别的冷热水标识；（2）设有便于老年人使用的扶手；（此项不符合）（3）设有紧急呼叫装置或为老年人配备可穿戴紧急呼叫装置。（此项不符合）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2.5.1.2 门厅设有服务台、值班室等，能提供接待管理、值班咨询等服务。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1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127"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4.6.3.3 每年至少组织 1 次老年人健康体检。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27"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156" w:type="dxa"/>
            <w:gridSpan w:val="5"/>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三级</w:t>
            </w:r>
          </w:p>
        </w:tc>
        <w:tc>
          <w:tcPr>
            <w:tcW w:w="1660" w:type="dxa"/>
            <w:gridSpan w:val="7"/>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845" w:type="dxa"/>
            <w:gridSpan w:val="12"/>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1：总得分》570分；2：各分项得分/分项总分》60%。3：以《实施指南》为参考，结合济源当地实际。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1"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中心敬老院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101.5</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84.58%</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96</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73.85%</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142</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94.67%</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417.5</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69.58%</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1.3.1.2设有通行导向标识，包括但不限于人行和车行导向标志、楼梯/电梯导向标志、楼层号等，且信息准确无误，具有一致性、连续性和显著性。(此项不符合)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1.4.3.6卫生间门的开启净宽≥0.80m。（此项不符合）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（2）外窗和开敞阳台设有安全防护措施；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（4）设有方便老年人使用的电源插座；（此项不符合）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2.2.1.5公共卫生间如厕区设有扶手，且形式、位置合理。（此项不符合）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（2）设有便于老年人使用的扶手；（此项不符合）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5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66"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150" w:type="dxa"/>
            <w:gridSpan w:val="4"/>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1711" w:type="dxa"/>
            <w:gridSpan w:val="9"/>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800" w:type="dxa"/>
            <w:gridSpan w:val="11"/>
            <w:shd w:val="clear" w:color="auto" w:fill="auto"/>
            <w:vAlign w:val="center"/>
          </w:tcPr>
          <w:p>
            <w:pPr>
              <w:keepNext w:val="0"/>
              <w:keepLines w:val="0"/>
              <w:widowControl/>
              <w:suppressLineNumbers w:val="0"/>
              <w:jc w:val="left"/>
              <w:textAlignment w:val="center"/>
              <w:rPr>
                <w:rFonts w:hint="eastAsia" w:ascii="黑体" w:hAnsi="黑体" w:eastAsia="黑体" w:cs="黑体"/>
                <w:b w:val="0"/>
                <w:bCs w:val="0"/>
                <w:i w:val="0"/>
                <w:iCs w:val="0"/>
                <w:color w:val="000000"/>
                <w:kern w:val="0"/>
                <w:sz w:val="15"/>
                <w:szCs w:val="15"/>
                <w:u w:val="none"/>
                <w:lang w:val="en-US" w:eastAsia="zh-CN" w:bidi="ar"/>
              </w:rPr>
            </w:pPr>
            <w:r>
              <w:rPr>
                <w:rFonts w:hint="eastAsia" w:ascii="黑体" w:hAnsi="黑体" w:eastAsia="黑体" w:cs="黑体"/>
                <w:b w:val="0"/>
                <w:bCs w:val="0"/>
                <w:i w:val="0"/>
                <w:iCs w:val="0"/>
                <w:color w:val="000000"/>
                <w:kern w:val="2"/>
                <w:sz w:val="15"/>
                <w:szCs w:val="15"/>
                <w:u w:val="none"/>
                <w:lang w:val="en-US" w:eastAsia="zh-CN" w:bidi="ar-SA"/>
              </w:rPr>
              <w:t>1：总得分》570分；2：各分项得分/分项总分》60%。3：未提供康复服务。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37"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爱心敬老院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102</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85.00%</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101</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77.69%</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139</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92.67%</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372.5</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62.08%</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714.5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1.3.1.2 设有通行导向标识，包括但不限于人行和车行导向标志、楼梯/电梯导向标志、楼层号等，且信息准确无误，具有一致性、连续性和显著性。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 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（1）设有便于老年人使用的淋浴设备，且配有易于识别的冷热水标识；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（2）设有便于老年人使用的扶手；（此项不符合）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2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2.2.2.4 洗浴空间（包括公共洗浴空间和老年人居室内的洗浴空间）的浴位空间宽敞，可容纳护理人员在旁辅助老年人洗浴。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43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73"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371" w:type="dxa"/>
            <w:gridSpan w:val="9"/>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三级</w:t>
            </w:r>
          </w:p>
        </w:tc>
        <w:tc>
          <w:tcPr>
            <w:tcW w:w="1719" w:type="dxa"/>
            <w:gridSpan w:val="5"/>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1：总得分》570分；2：各分项得分/分项总分》60%。3：以《实施指南》为参考，结合济源当地实际。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大峪镇敬老院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85.21</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71.01%</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65</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50.00%</w:t>
            </w:r>
          </w:p>
        </w:tc>
        <w:tc>
          <w:tcPr>
            <w:tcW w:w="170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113.5</w:t>
            </w:r>
          </w:p>
        </w:tc>
        <w:tc>
          <w:tcPr>
            <w:tcW w:w="128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75.67%</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385.5</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64.25%</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649.21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 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（1）设有紧急呼叫装置或为老年人配备可穿戴紧急呼叫设备；（此项不符合）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（3）如厕区的必要位置设有扶手，扶手形式、位置合理，能够正常使用。（此项不符合）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 公共卫生间如厕区设有扶手，且形式、位置合理。（此项不符合）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（2）设有便于老年人使用的扶手；（此项不符合）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 "每 200 名老年人（不足 200 名的按 200 名计算）至少配有 1 名专职社会工作者。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"至少有 1 名社会工作者指导开展社会工作服务。(此项不符合)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668"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521" w:type="dxa"/>
            <w:gridSpan w:val="11"/>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1569" w:type="dxa"/>
            <w:gridSpan w:val="3"/>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1：总得分》450分；2：各分项得分/分项总分》50%。3：以《实施指南》为参考，结合济源当地实际。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老年服务中心</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93.5</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77.92%</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95</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73.08%</w:t>
            </w:r>
          </w:p>
        </w:tc>
        <w:tc>
          <w:tcPr>
            <w:tcW w:w="1711"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145.5</w:t>
            </w:r>
          </w:p>
        </w:tc>
        <w:tc>
          <w:tcPr>
            <w:tcW w:w="127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97.00%</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308</w:t>
            </w:r>
          </w:p>
        </w:tc>
        <w:tc>
          <w:tcPr>
            <w:tcW w:w="1349"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51.33%</w:t>
            </w:r>
          </w:p>
        </w:tc>
        <w:tc>
          <w:tcPr>
            <w:tcW w:w="14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 卫生间门的开启净宽≥0.80m。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 公共洗浴空间门的开启净宽（或门洞口通行净宽）≥0.80m，且便于浴床进出。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 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（2）外窗和开敞阳台设有安全防护措施；（此项不符合）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（2）设有便于老年人使用的扶手；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41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75"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428"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2268"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6965"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1：总得分》450分；2：各分项得分/分项总分》50%。3：以《实施指南》为参考，结合济源当地实际。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下冶镇敬老院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83</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69.17%</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75</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57.69%</w:t>
            </w:r>
          </w:p>
        </w:tc>
        <w:tc>
          <w:tcPr>
            <w:tcW w:w="1711"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119</w:t>
            </w:r>
          </w:p>
        </w:tc>
        <w:tc>
          <w:tcPr>
            <w:tcW w:w="127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79.33%</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354</w:t>
            </w:r>
          </w:p>
        </w:tc>
        <w:tc>
          <w:tcPr>
            <w:tcW w:w="1349"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59.00%</w:t>
            </w:r>
          </w:p>
        </w:tc>
        <w:tc>
          <w:tcPr>
            <w:tcW w:w="14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 公共洗浴空间门的开启净宽（或门洞口通行净宽）≥0.80m，且便于浴床进出。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 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（2）外窗和开敞阳台设有安全防护措施；（此项不符合）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（3）设有床、床头柜/桌子、椅子/凳子、衣柜/储物柜等老年人居住生活所必需的家具；（此项不符合）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 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（2）设有便于老年人使用的扶手；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9"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 至少有 1 名社会工作者指导开展社会工作服务。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6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59"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164"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1926"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1：总得分》450分；2：各分项得分/分项总分》50%。3：以《实施指南》为参考，结合济源当地实际。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王屋镇敬老院</w:t>
            </w:r>
          </w:p>
        </w:tc>
        <w:tc>
          <w:tcPr>
            <w:tcW w:w="126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87.73</w:t>
            </w:r>
          </w:p>
        </w:tc>
        <w:tc>
          <w:tcPr>
            <w:tcW w:w="1164" w:type="dxa"/>
            <w:gridSpan w:val="9"/>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73.11%</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75.5</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58.08%</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112.5</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75.00%</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344.5</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57.42%</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620.23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1.4.3.6卫生间门的开启净宽≥0.80m。（此项未达标）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（2）外窗和开敞阳台设有安全防护措施；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（4）设有方便老年人使用的电源插座；（此项不符合）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（3）如厕区的必要位置设有扶手，扶手形式、位置合理，能够正常使用。（此项不符合）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2.2.1.7公共卫生间设有紧急呼叫设备。（此项不符合）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（1）设有便于老年人使用的淋浴设备，且配有易于识别的冷热水标识；（此项不符合）（2）设有便于老年人使用的扶手；（此项不符合）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3.2.3.3"每 200 名老年人（不足 200 名的按 200 名计算）至少配有 1 名专职社会工作者。注：申请 4-5 级评定的养老机构如不符合此项要求，则自动终止评定程序。"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"至少有 1 名社会工作者指导开展社会工作服务。注：申请 3 级评定的养老机构如不符合此项要求，则自动终止评定程序。"（此项不符合）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3.4.2.1会计人员持有会计资格证书。（此项不符合）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8"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4.3.2.1厨师持有厨师证。（此项不符合）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10"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428"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2268"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6965"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1：总得分》450分；2：各分项得分/分项总分》50%。3：以《实施指南》为参考，结合济源当地实际。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邵原镇敬老院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70.08</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58.40%</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70.5</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54.23%</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99</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66.00%</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372.5</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62.08%</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612.08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1.3.1.2设有通行导向标识，包括但不限于人行和车行导向标志、楼梯/电梯导向标志、楼层号等，且信息准确无误，具有一致性、连续性和显著性。（此项不符合）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1.4.3.6卫生间门的开启净宽≥0.80m。（此项不符合）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2）外窗和开敞阳台设有安全防护措施；（此项不符合）（3）设有床、床头柜/桌子、椅子/凳子、衣柜/储物柜等老年人居住生活所必需的家具；（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2.1.2.1能力完好、轻度失能、中度失能老年人居室中有卫生间的居室比例符合以下条件时得相应分数：（此项不符合）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 ≥80%，得2分（注：申请5级评定的养老机构如不符合此项要求，则自动终止评定程序）；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 ≥60%，得1分（注：申请4级评定的养老机构如不符合此项要求，则自动终止评定程序）；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 ≥50%，得0.5分（注：申请3级评定的养老机构如不符合此项要求，则自动终止评定程序）。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2.1.2.2居室卫生间满足基本的安全和使用需求，符合以下全部条件：（此项不符合）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（1）设有紧急呼叫装置或为老年人配备可穿戴紧急呼叫设备；（2）设有洗手池和坐便器；（3）如厕区的必要位置设有扶手，扶手形式、位置合理，能够正常使用。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2.2.1.5公共卫生间如厕区设有扶手，且形式、位置合理。（此项不符合）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2.2.1.7公共卫生间设有紧急呼叫设备。（此项不符合）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（1）设有便于老年人使用的淋浴设备，且配有易于识别的冷热水标识；（此项不符合）（2）设有便于老年人使用的扶手；（3）设有紧急呼叫装置或为老年人配备可穿戴紧急呼叫装置。（此项不符合）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3.2.3.3"每 200 名老年人（不足 200 名的按 200 名计算）至少配有 1 名专职社会工作者。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3.4.2.1会计人员持有会计资格证书。（此项不符合）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4.3.2.1厨师持有厨师证。(此项不符合)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72"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187" w:type="dxa"/>
            <w:gridSpan w:val="7"/>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1903" w:type="dxa"/>
            <w:gridSpan w:val="7"/>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1：总得分》450分；2：各分项得分/分项总分》50%。3：以《实施指南》为参考，结合济源当地实际。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5" w:hRule="atLeast"/>
        </w:trPr>
        <w:tc>
          <w:tcPr>
            <w:tcW w:w="2502" w:type="dxa"/>
            <w:shd w:val="clear" w:color="auto" w:fill="auto"/>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曲阳湖老年公寓第一分院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80.5</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67.08%</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84.65</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65.12%</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90</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60.00%</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342</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57.00%</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highlight w:val="none"/>
                <w:u w:val="none"/>
                <w:lang w:val="en-US" w:eastAsia="zh-CN" w:bidi="ar"/>
              </w:rPr>
            </w:pPr>
            <w:r>
              <w:rPr>
                <w:rFonts w:hint="eastAsia" w:ascii="宋体" w:hAnsi="宋体" w:eastAsia="宋体" w:cs="宋体"/>
                <w:b/>
                <w:bCs/>
                <w:i w:val="0"/>
                <w:iCs w:val="0"/>
                <w:color w:val="000000"/>
                <w:kern w:val="0"/>
                <w:sz w:val="15"/>
                <w:szCs w:val="15"/>
                <w:highlight w:val="none"/>
                <w:u w:val="none"/>
                <w:lang w:val="en-US" w:eastAsia="zh-CN" w:bidi="ar"/>
              </w:rPr>
              <w:t>597.15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72"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 公共洗浴空间门的开启净宽（或门洞口通行净宽）≥0.80m，且便于浴床进出。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1.4.3.10 洗浴空间地面铺装平整、防滑，排水良好无积水。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 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（2）外窗和开敞阳台设有安全防护措施；（此项不符合）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（2）设有便于老年人使用的扶手；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2.2.2.4 洗浴空间（包括公共洗浴空间和老年人居室内的洗浴空间）的浴位空间宽敞，可容纳护理人员在旁辅助老年人洗浴。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 至少有 1 名社会工作者指导开展社会工作服务。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7"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4.6.3.3 每年至少组织 1 次老年人健康体检。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87"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187" w:type="dxa"/>
            <w:gridSpan w:val="7"/>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1903" w:type="dxa"/>
            <w:gridSpan w:val="7"/>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1：总得分》450分；2：各分项得分/分项总分》50%。3：以《实施指南》为参考，结合济源当地实际。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52"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承留镇敬老院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lang w:val="en-US"/>
              </w:rPr>
            </w:pPr>
            <w:r>
              <w:rPr>
                <w:rFonts w:hint="eastAsia" w:ascii="宋体" w:hAnsi="宋体" w:eastAsia="宋体" w:cs="宋体"/>
                <w:b/>
                <w:bCs/>
                <w:i w:val="0"/>
                <w:iCs w:val="0"/>
                <w:color w:val="000000"/>
                <w:kern w:val="0"/>
                <w:sz w:val="15"/>
                <w:szCs w:val="15"/>
                <w:highlight w:val="none"/>
                <w:u w:val="none"/>
                <w:lang w:val="en-US" w:eastAsia="zh-CN" w:bidi="ar"/>
              </w:rPr>
              <w:t>94.79</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78.99%</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74.14</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57.03%</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92</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61.33%</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316.5</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52.75%</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lang w:val="en-US"/>
              </w:rPr>
            </w:pPr>
            <w:r>
              <w:rPr>
                <w:rFonts w:hint="eastAsia" w:ascii="宋体" w:hAnsi="宋体" w:eastAsia="宋体" w:cs="宋体"/>
                <w:b/>
                <w:bCs/>
                <w:i w:val="0"/>
                <w:iCs w:val="0"/>
                <w:color w:val="000000"/>
                <w:kern w:val="0"/>
                <w:sz w:val="15"/>
                <w:szCs w:val="15"/>
                <w:highlight w:val="none"/>
                <w:u w:val="none"/>
                <w:lang w:val="en-US" w:eastAsia="zh-CN" w:bidi="ar"/>
              </w:rPr>
              <w:t>577.43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1"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53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53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2.2.1.7公共卫生间设有紧急呼叫设备。（此项不符合）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（2）设有便于老年人使用的扶手；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（3）设有紧急呼叫装置或为老年人配备可穿戴紧急呼叫装置。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3.2.3.3"每 200 名老年人（不足 200 名的按 200 名计算）至少配有 1 名专职社会工作者。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"至少有 1 名社会工作者指导开展社会工作服务。（此项不符合）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4"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4.3.2.1厨师持有厨师证。（此项不符合）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34"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040" w:type="dxa"/>
            <w:gridSpan w:val="3"/>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2050" w:type="dxa"/>
            <w:gridSpan w:val="11"/>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1：总得分》450分；2：各分项得分/分项总分》50%。3：以《实施指南》为参考，结合济源当地实际。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37"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柿槟老年公寓</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86.5</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72.08%</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69.54</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53.49%</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95.5</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63.67%</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302.5</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50.42%</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554.04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1.3.1.2 设有通行导向标识，包括但不限于人行和车行导向标志、楼梯/电梯导向标志、楼层号等，且信息准确无误，具有一致性、连续性和显著性。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1.4.3.2 居室门的开启净宽≥0.80m。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 卫生间门的开启净宽≥0.80m。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 公共洗浴空间门的开启净宽（或门洞口通行净宽）≥0.80m，且便于浴床进出。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 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679"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此项不符合）（2）外窗和开敞阳台设有安全防护措施；（3）设有床、床头柜/桌子、椅子/凳子、衣柜/储物柜等老年人居住生活所必需的家具；（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37"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 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（1）设有紧急呼叫装置或为老年人配备可穿戴紧急呼叫设备；（此项不符合）（2）设有洗手池和坐便器；（3）如厕区的必要位置设有扶手，扶手形式、位置合理，能够正常使用。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（1）设有便于老年人使用的淋浴设备，且配有易于识别的冷热水标识；（2）设有便于老年人使用的扶手；（此项不符合）（3）设有紧急呼叫装置或为老年人配备可穿戴紧急呼叫装置。（此项不符合）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2.5.1.2 门厅设有服务台、值班室等，能提供接待管理、值班咨询等服务。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 至少有 1 名社会工作者指导开展社会工作服务。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3.4.2.1 会计人员持有会计资格证书。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82"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4.3.3.1 食品经营许可证合法有效，经营场所、主体业态、经营项目等事项与食品经营许可证一致。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612"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428"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二级</w:t>
            </w:r>
          </w:p>
        </w:tc>
        <w:tc>
          <w:tcPr>
            <w:tcW w:w="1818" w:type="dxa"/>
            <w:gridSpan w:val="5"/>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415" w:type="dxa"/>
            <w:gridSpan w:val="9"/>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1：总得分》450分；2：各分项得分/分项总分》50%。3：以《实施指南》为参考，结合济源当地实际。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坡头镇敬老院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73.61</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61.34%</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61</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46.92%</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106</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70.67%</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354</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59.00%</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594.61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1.3.1.2设有通行导向标识，包括但不限于人行和车行导向标志、楼梯/电梯导向标志、楼层号等，且信息准确无误，具有一致性、连续性和显著性。（此项不符合）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1.4.3.9公共洗浴空间门的开启净宽（或门洞口通行净宽）≥0.80m，且便于浴床进出。（此项不符合）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（2）外窗和开敞阳台设有安全防护措施；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（4）设有方便老年人使用的电源插座；（此项不符合）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2.1.2.1能力完好、轻度失能、中度失能老年人居室中有卫生间的居室比例符合以下条件时得相应分数：(此项不符合)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 ≥80%，得2分（注：申请5级评定的养老机构如不符合此项要求，则自动终止评定程序）；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 ≥60%，得1分（注：申请4级评定的养老机构如不符合此项要求，则自动终止评定程序）；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 ≥50%，得0.5分（注：申请3级评定的养老机构如不符合此项要求，则自动终止评定程序）。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2.1.2.2居室卫生间满足基本的安全和使用需求，符合以下全部条件：（此项不符合）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2.2.1.5公共卫生间如厕区设有扶手，且形式、位置合理。（此项不符合）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2.2.1.7公共卫生间设有紧急呼叫设备。（此项不符合）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3.2.3.3"每 200 名老年人（不足 200 名的按 200 名计算）至少配有 1 名专职社会工作者。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"至少有 1 名社会工作者指导开展社会工作服务。（此项不符合）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4.3.2.1厨师持有厨师证。（此项不符合）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02"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212"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一级</w:t>
            </w:r>
          </w:p>
        </w:tc>
        <w:tc>
          <w:tcPr>
            <w:tcW w:w="1878"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1：总得分》360分；2：各分项得分/分项总分》40%。3：以《实施指南》为参考，结合济源当地实际。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5" w:hRule="atLeast"/>
        </w:trPr>
        <w:tc>
          <w:tcPr>
            <w:tcW w:w="2502" w:type="dxa"/>
            <w:shd w:val="clear" w:color="auto" w:fill="auto"/>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老来乐老年公寓（沁园）</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92.5</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77.08%</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69.5</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53.46%</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133</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88.67%</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275</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45.83%</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1.3.1.2 设有通行导向标识，包括但不限于人行和车行导向标志、楼梯/电梯导向标志、楼层号等，且信息准确无误，具有一致性、连续性和显著性。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注：当机构无可评价的外部道路和室内交通空间时，此项不参与评分。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1.4.1.6 建筑主要出入口内外留有进深≥1.50m的区域，便于人员等候及轮椅回转。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 卫生间门的开启净宽≥0.80m。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 公共洗浴空间门的开启净宽（或门洞口通行净宽）≥0.80m，且便于浴床进出。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 公共卫生间如厕区设有扶手，且形式、位置合理。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（2）设有便于老年人使用的扶手；（此项不符合）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3"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4.6.3.3 每年至少组织 1 次老年人健康体检。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4.7.3.5 "每日至少组织 2 次适宜老年人活动，有记录。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648"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212"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一级</w:t>
            </w:r>
          </w:p>
        </w:tc>
        <w:tc>
          <w:tcPr>
            <w:tcW w:w="1878"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1：总得分》360分；2：各分项得分/分项总分》40%。3：以《实施指南》为参考，结合济源当地实际。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465"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曲阳湖老年公寓</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73.5</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61.25%</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63.48</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48.83%</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87.5</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58.33%</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324</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54.00%</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548.48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410"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 公共洗浴空间门的开启净宽（或门洞口通行净宽）≥0.80m，且便于浴床进出。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 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（2）外窗和开敞阳台设有安全防护措施；（此项不符合）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 公共卫生间如厕区设有扶手，且形式、位置合理。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（2）设有便于老年人使用的扶手；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3.2.3.3 至少有 1 名社会工作者指导开展社会工作服务。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4.6.3.3 每年至少组织 1 次老年人健康体检。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0"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212"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一级</w:t>
            </w:r>
          </w:p>
        </w:tc>
        <w:tc>
          <w:tcPr>
            <w:tcW w:w="1878"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1：总得分》360分；2：各分项得分/分项总分》40%。3：以《实施指南》为参考，结合济源当地实际。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5" w:hRule="atLeast"/>
        </w:trPr>
        <w:tc>
          <w:tcPr>
            <w:tcW w:w="2502" w:type="dxa"/>
            <w:shd w:val="clear" w:color="auto" w:fill="auto"/>
            <w:vAlign w:val="center"/>
          </w:tcPr>
          <w:p>
            <w:pPr>
              <w:keepNext w:val="0"/>
              <w:keepLines w:val="0"/>
              <w:widowControl/>
              <w:numPr>
                <w:ilvl w:val="0"/>
                <w:numId w:val="3"/>
              </w:numPr>
              <w:suppressLineNumbers w:val="0"/>
              <w:ind w:left="0" w:leftChars="0" w:firstLine="400" w:firstLineChars="0"/>
              <w:jc w:val="both"/>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今三养老年公寓</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79.5</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66.25%</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64.5</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49.61%</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107.5</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71.67%</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256</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42.67%</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86"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 公共洗浴空间门的开启净宽（或门洞口通行净宽）≥0.80m，且便于浴床进出。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1.4.3.10 洗浴空间地面铺装平整、防滑，排水良好无积水。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 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（2）外窗和开敞阳台设有安全防护措施；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 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1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 公共卫生间如厕区设有扶手，且形式、位置合理。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23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01"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（2）设有便于老年人使用的扶手；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86"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212"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一级</w:t>
            </w:r>
          </w:p>
        </w:tc>
        <w:tc>
          <w:tcPr>
            <w:tcW w:w="1878"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1：总得分》360分；2：各分项得分/分项总分》40%。3：以《实施指南》为参考，结合济源当地实际。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5" w:hRule="atLeast"/>
        </w:trPr>
        <w:tc>
          <w:tcPr>
            <w:tcW w:w="2502" w:type="dxa"/>
            <w:shd w:val="clear" w:color="auto" w:fill="auto"/>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老来乐老年公寓（北海）</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58.97</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49.14%</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47.6</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36.61%</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132.5</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88.33%</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267</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44.50%</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506.06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1.3.1.1 设有应急导向标识，包括但不限于安全出口标志、疏散路线标志、消防和应急设备位置标志、楼层平面疏散指示图等，且信息准确无误，具有一致性、连续性和显著性。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1.3.1.2 设有通行导向标识，包括但不限于人行和车行导向标志、楼梯/电梯导向标志、楼层号等，且信息准确无误，具有一致性、连续性和显著性。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注：当机构无可评价的外部道路和室内交通空间时，此项不参与评分。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1.4.1.4 建筑主要出入口符合以下条件之一：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（1）为平坡出入口；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（2）为同时设置台阶和轮椅坡道（或升降平台）的出入口，且台阶及坡道两侧设有扶手。1.4.3.2 居室门的开启净宽≥0.80m。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 卫生间门的开启净宽≥0.80m。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1.4.3.9 公共洗浴空间门的开启净宽（或门洞口通行净宽）≥0.80m，且便于浴床进出。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1.6.2.5 公共活动空间照度充足、均匀，灯具无明显眩光、易维护。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 公共卫生间如厕区设有扶手，且形式、位置合理。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（2）设有便于老年人使用的扶手；（此项不符合）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4.6.3.3 每年至少组织 1 次老年人健康体检。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7"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4.7.3.5 "每日至少组织 2 次适宜老年人活动，有记录。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622"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212"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未定级</w:t>
            </w:r>
          </w:p>
        </w:tc>
        <w:tc>
          <w:tcPr>
            <w:tcW w:w="1878"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1：总得分》360分；2：设备设施分项得分/分项总分《40%。3：以《实施指南》为参考，结合济源当地实际。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2502" w:type="dxa"/>
            <w:shd w:val="clear" w:color="auto" w:fill="auto"/>
            <w:vAlign w:val="center"/>
          </w:tcPr>
          <w:p>
            <w:pPr>
              <w:keepNext w:val="0"/>
              <w:keepLines w:val="0"/>
              <w:widowControl/>
              <w:numPr>
                <w:ilvl w:val="0"/>
                <w:numId w:val="0"/>
              </w:numPr>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17.静安养护院</w:t>
            </w:r>
          </w:p>
        </w:tc>
        <w:tc>
          <w:tcPr>
            <w:tcW w:w="1272"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80.17</w:t>
            </w:r>
          </w:p>
        </w:tc>
        <w:tc>
          <w:tcPr>
            <w:tcW w:w="1156"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66.81%</w:t>
            </w:r>
          </w:p>
        </w:tc>
        <w:tc>
          <w:tcPr>
            <w:tcW w:w="138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66.02</w:t>
            </w:r>
          </w:p>
        </w:tc>
        <w:tc>
          <w:tcPr>
            <w:tcW w:w="880"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50.78%</w:t>
            </w:r>
          </w:p>
        </w:tc>
        <w:tc>
          <w:tcPr>
            <w:tcW w:w="17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63</w:t>
            </w:r>
          </w:p>
        </w:tc>
        <w:tc>
          <w:tcPr>
            <w:tcW w:w="1289"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42.00%</w:t>
            </w:r>
          </w:p>
        </w:tc>
        <w:tc>
          <w:tcPr>
            <w:tcW w:w="12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179</w:t>
            </w:r>
          </w:p>
        </w:tc>
        <w:tc>
          <w:tcPr>
            <w:tcW w:w="134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29.83%</w:t>
            </w:r>
          </w:p>
        </w:tc>
        <w:tc>
          <w:tcPr>
            <w:tcW w:w="140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388.19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r>
              <w:rPr>
                <w:rFonts w:hint="eastAsia" w:ascii="宋体" w:hAnsi="宋体" w:eastAsia="宋体" w:cs="宋体"/>
                <w:b w:val="0"/>
                <w:bCs w:val="0"/>
                <w:i w:val="0"/>
                <w:iCs w:val="0"/>
                <w:color w:val="000000"/>
                <w:kern w:val="0"/>
                <w:sz w:val="15"/>
                <w:szCs w:val="15"/>
                <w:u w:val="none"/>
                <w:lang w:val="en-US" w:eastAsia="zh-CN" w:bidi="ar"/>
              </w:rPr>
              <w:br w:type="textWrapping"/>
            </w:r>
            <w:r>
              <w:rPr>
                <w:rFonts w:hint="eastAsia" w:ascii="宋体" w:hAnsi="宋体" w:eastAsia="宋体" w:cs="宋体"/>
                <w:b w:val="0"/>
                <w:bCs w:val="0"/>
                <w:i w:val="0"/>
                <w:iCs w:val="0"/>
                <w:color w:val="000000"/>
                <w:kern w:val="0"/>
                <w:sz w:val="15"/>
                <w:szCs w:val="15"/>
                <w:u w:val="none"/>
                <w:lang w:val="en-US" w:eastAsia="zh-CN" w:bidi="ar"/>
              </w:rPr>
              <w:t>不符合GB/T 37276-2018《养老机构等级划分与评定》中基本要求与条件项目</w:t>
            </w: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1.4.1.6 建筑主要出入口内外留有进深≥1.50m的区域，便于人员等候及轮椅回转。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1.4.3.6 卫生间门的开启净宽≥0.80m。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2.1.1.3 居室设施满足基本的安全和使用需求，符合以下全部条件：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（2）外窗和开敞阳台设有安全防护措施；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（3）设有床、床头柜/桌子、椅子/凳子、衣柜/储物柜等老年人居住生活所必需的家具；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（4）设有方便老年人使用的电源插座；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2.1.2.2 居室卫生间满足基本的安全和使用需求，符合以下全部条件：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（1）设有紧急呼叫装置或为老年人配备可穿戴紧急呼叫设备；（此项不符合）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（2）设有洗手池和坐便器；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（3）如厕区的必要位置设有扶手，扶手形式、位置合理，能够正常使用。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2.2.1.5 公共卫生间如厕区设有扶手，且形式、位置合理。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2.2.1.7 公共卫生间设有紧急呼叫设备。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2.2.2.3 洗浴空间（包括公共洗浴空间和老年人居室内的洗浴空间）满足老年人基本的安全洗浴需求，符合以下全部条件：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（1）设有便于老年人使用的淋浴设备，且配有易于识别的冷热水标识；（此项不符合）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（2）设有便于老年人使用的扶手；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 xml:space="preserve"> （3）设有紧急呼叫装置或为老年人配备可穿戴紧急呼叫装置。（此项不符合）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2.5.1.2 门厅设有服务台、值班室等，能提供接待管理、值班咨询等服务。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4.3.2.1 厨师持有厨师证。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2502" w:type="dxa"/>
            <w:vMerge w:val="continue"/>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11661" w:type="dxa"/>
            <w:gridSpan w:val="24"/>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4.6.3.3 每年至少组织 1 次老年人健康体检。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2502" w:type="dxa"/>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bCs/>
                <w:i w:val="0"/>
                <w:iCs w:val="0"/>
                <w:color w:val="000000"/>
                <w:kern w:val="2"/>
                <w:sz w:val="15"/>
                <w:szCs w:val="15"/>
                <w:u w:val="none"/>
                <w:lang w:val="en-US" w:eastAsia="zh-CN" w:bidi="ar-SA"/>
              </w:rPr>
              <w:t>等级评定建议</w:t>
            </w:r>
          </w:p>
        </w:tc>
        <w:tc>
          <w:tcPr>
            <w:tcW w:w="2212" w:type="dxa"/>
            <w:gridSpan w:val="8"/>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未定级</w:t>
            </w:r>
          </w:p>
        </w:tc>
        <w:tc>
          <w:tcPr>
            <w:tcW w:w="1878" w:type="dxa"/>
            <w:gridSpan w:val="6"/>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等级评定依据</w:t>
            </w:r>
          </w:p>
        </w:tc>
        <w:tc>
          <w:tcPr>
            <w:tcW w:w="7571" w:type="dxa"/>
            <w:gridSpan w:val="10"/>
            <w:shd w:val="clear" w:color="auto" w:fill="auto"/>
            <w:vAlign w:val="center"/>
          </w:tcPr>
          <w:p>
            <w:pPr>
              <w:jc w:val="center"/>
              <w:rPr>
                <w:rFonts w:hint="eastAsia" w:ascii="黑体" w:hAnsi="黑体" w:eastAsia="黑体" w:cs="黑体"/>
                <w:b w:val="0"/>
                <w:bCs w:val="0"/>
                <w:i w:val="0"/>
                <w:iCs w:val="0"/>
                <w:color w:val="000000"/>
                <w:kern w:val="2"/>
                <w:sz w:val="15"/>
                <w:szCs w:val="15"/>
                <w:u w:val="none"/>
                <w:lang w:val="en-US" w:eastAsia="zh-CN" w:bidi="ar-SA"/>
              </w:rPr>
            </w:pPr>
            <w:r>
              <w:rPr>
                <w:rFonts w:hint="eastAsia" w:ascii="黑体" w:hAnsi="黑体" w:eastAsia="黑体" w:cs="黑体"/>
                <w:b w:val="0"/>
                <w:bCs w:val="0"/>
                <w:i w:val="0"/>
                <w:iCs w:val="0"/>
                <w:color w:val="000000"/>
                <w:kern w:val="2"/>
                <w:sz w:val="15"/>
                <w:szCs w:val="15"/>
                <w:u w:val="none"/>
                <w:lang w:val="en-US" w:eastAsia="zh-CN" w:bidi="ar-SA"/>
              </w:rPr>
              <w:t>1：总得分》360分；2：服务项得分/分项总分《40%。3：以《实施指南》为参考，结合济源当地实际。</w:t>
            </w:r>
          </w:p>
        </w:tc>
      </w:tr>
    </w:tbl>
    <w:p>
      <w:pPr>
        <w:pStyle w:val="2"/>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6"/>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firstLine="643" w:firstLineChars="200"/>
        <w:jc w:val="both"/>
        <w:textAlignment w:val="auto"/>
        <w:outlineLvl w:val="0"/>
        <w:rPr>
          <w:rFonts w:hint="eastAsia"/>
          <w:sz w:val="32"/>
          <w:szCs w:val="20"/>
          <w:lang w:val="en-US" w:eastAsia="zh-CN"/>
        </w:rPr>
      </w:pPr>
      <w:bookmarkStart w:id="8" w:name="_Toc4851"/>
      <w:bookmarkStart w:id="9" w:name="_Toc6555"/>
      <w:r>
        <w:rPr>
          <w:rFonts w:hint="eastAsia"/>
          <w:sz w:val="32"/>
          <w:szCs w:val="20"/>
          <w:lang w:val="en-US" w:eastAsia="zh-CN"/>
        </w:rPr>
        <w:t>七、等级评定问题发现</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1.济源产城融合示范区养老机构整体硬件设施建设与当地社会经济发展水平基本一致。服务与当地需求实际基本吻合，符合养老服务的基本规律。</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2.开展康复服务的养老机构少，十七家养老机构中开展康复服务的机构仅有爱心敬老院和康乐老年公寓两家。</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3.十七家养老机构中，均未开展老年教育服务。</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default"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4.十七家养老机构均未开展居家上门服务。</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default"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5.养老机构在管理方法上仍需改进，多项需要记录的工作缺乏资料，如大多数养老机构缺乏衣物清洗消毒记录等。</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default"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6.坡头镇敬老院旱厕在使用，应予尽快改建。</w:t>
      </w:r>
    </w:p>
    <w:p>
      <w:pPr>
        <w:pStyle w:val="6"/>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ind w:firstLine="643" w:firstLineChars="200"/>
        <w:jc w:val="both"/>
        <w:textAlignment w:val="auto"/>
        <w:outlineLvl w:val="0"/>
        <w:rPr>
          <w:rFonts w:hint="eastAsia"/>
          <w:sz w:val="32"/>
          <w:szCs w:val="20"/>
          <w:lang w:val="en-US" w:eastAsia="zh-CN"/>
        </w:rPr>
      </w:pPr>
      <w:bookmarkStart w:id="10" w:name="_Toc27324"/>
      <w:bookmarkStart w:id="11" w:name="_Toc15407"/>
      <w:r>
        <w:rPr>
          <w:rFonts w:hint="eastAsia"/>
          <w:sz w:val="32"/>
          <w:szCs w:val="20"/>
          <w:lang w:val="en-US" w:eastAsia="zh-CN"/>
        </w:rPr>
        <w:t>八、等级评定综合评价</w:t>
      </w:r>
      <w:bookmarkEnd w:id="10"/>
      <w:bookmarkEnd w:id="11"/>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一）济源产城融合示范区民政局通过招标方式遴选等级评定第三方专业评定机构实施等级评定，提高了工作效率，保证了等级评定的公正、公平、公开，是一个致于求真、敢于探索、勇于创新的高明决策。这对于示范区民政系统自加压力发现养老服务业问题、寻求改变方式方法、最大效能实现养老机构服务提质升级是一次有效的行政实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二）等级评定专家组认为，济源产城融合示范区养老机构中目前尚缺乏在康复、老年教育、居家上门服务方面运营成熟的服务商，示范区民政局可通过政策激励措施推动养老机构在康复、老年教育、居家上门服务方面积极拓展，为济源产城融合示范区老年群体提供更加丰富多元的养老服务。</w:t>
      </w:r>
      <w:bookmarkEnd w:id="9"/>
      <w:bookmarkStart w:id="12" w:name="_Toc18665"/>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9"/>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（注：由于养老机构等级评定评分表篇幅较大，养老机构等级评定评分表另册</w:t>
      </w:r>
      <w:bookmarkEnd w:id="12"/>
      <w:r>
        <w:rPr>
          <w:rFonts w:hint="eastAsia" w:ascii="仿宋" w:hAnsi="仿宋" w:eastAsia="仿宋" w:cs="仿宋"/>
          <w:b w:val="0"/>
          <w:bCs w:val="0"/>
          <w:kern w:val="0"/>
          <w:sz w:val="32"/>
          <w:szCs w:val="32"/>
          <w:lang w:val="en-US" w:eastAsia="zh-CN"/>
        </w:rPr>
        <w:t>）</w:t>
      </w:r>
    </w:p>
    <w:p>
      <w:pPr>
        <w:jc w:val="center"/>
        <w:rPr>
          <w:rFonts w:hint="eastAsia"/>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C0678A"/>
    <w:multiLevelType w:val="singleLevel"/>
    <w:tmpl w:val="A9C0678A"/>
    <w:lvl w:ilvl="0" w:tentative="0">
      <w:start w:val="1"/>
      <w:numFmt w:val="decimal"/>
      <w:suff w:val="nothing"/>
      <w:lvlText w:val="%1．"/>
      <w:lvlJc w:val="left"/>
      <w:pPr>
        <w:ind w:left="0" w:firstLine="400"/>
      </w:pPr>
      <w:rPr>
        <w:rFonts w:hint="default"/>
      </w:rPr>
    </w:lvl>
  </w:abstractNum>
  <w:abstractNum w:abstractNumId="1">
    <w:nsid w:val="CF88F304"/>
    <w:multiLevelType w:val="singleLevel"/>
    <w:tmpl w:val="CF88F304"/>
    <w:lvl w:ilvl="0" w:tentative="0">
      <w:start w:val="4"/>
      <w:numFmt w:val="decimal"/>
      <w:suff w:val="nothing"/>
      <w:lvlText w:val="（%1）"/>
      <w:lvlJc w:val="left"/>
    </w:lvl>
  </w:abstractNum>
  <w:abstractNum w:abstractNumId="2">
    <w:nsid w:val="15976E59"/>
    <w:multiLevelType w:val="singleLevel"/>
    <w:tmpl w:val="15976E59"/>
    <w:lvl w:ilvl="0" w:tentative="0">
      <w:start w:val="1"/>
      <w:numFmt w:val="chineseCounting"/>
      <w:suff w:val="nothing"/>
      <w:lvlText w:val="%1、"/>
      <w:lvlJc w:val="left"/>
      <w:pPr>
        <w:ind w:left="0" w:firstLine="42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EF1DAB"/>
    <w:rsid w:val="00547010"/>
    <w:rsid w:val="01912DF8"/>
    <w:rsid w:val="02CA4068"/>
    <w:rsid w:val="02D82DF4"/>
    <w:rsid w:val="036851D0"/>
    <w:rsid w:val="038010C7"/>
    <w:rsid w:val="04273127"/>
    <w:rsid w:val="067F7065"/>
    <w:rsid w:val="07DD06DB"/>
    <w:rsid w:val="07E92253"/>
    <w:rsid w:val="082321A3"/>
    <w:rsid w:val="08565CD3"/>
    <w:rsid w:val="08704176"/>
    <w:rsid w:val="08A37BF1"/>
    <w:rsid w:val="0A526C4B"/>
    <w:rsid w:val="0BE75DB5"/>
    <w:rsid w:val="0C607169"/>
    <w:rsid w:val="0C6403E0"/>
    <w:rsid w:val="0C6B49EE"/>
    <w:rsid w:val="0CA86390"/>
    <w:rsid w:val="0D634563"/>
    <w:rsid w:val="0DD71E8F"/>
    <w:rsid w:val="0E8F45A9"/>
    <w:rsid w:val="0F3D5B6A"/>
    <w:rsid w:val="10217F14"/>
    <w:rsid w:val="104761EF"/>
    <w:rsid w:val="10954CC3"/>
    <w:rsid w:val="11D63B15"/>
    <w:rsid w:val="12236ECA"/>
    <w:rsid w:val="12DF35D1"/>
    <w:rsid w:val="13AC2485"/>
    <w:rsid w:val="15D75602"/>
    <w:rsid w:val="16C9501E"/>
    <w:rsid w:val="173A3A36"/>
    <w:rsid w:val="17400E42"/>
    <w:rsid w:val="19202927"/>
    <w:rsid w:val="19793C6F"/>
    <w:rsid w:val="1AE961F7"/>
    <w:rsid w:val="1B192701"/>
    <w:rsid w:val="1C6C2A7E"/>
    <w:rsid w:val="1C771C60"/>
    <w:rsid w:val="1DAC783A"/>
    <w:rsid w:val="1DE73F59"/>
    <w:rsid w:val="1EFD2537"/>
    <w:rsid w:val="1F303BFB"/>
    <w:rsid w:val="1F663277"/>
    <w:rsid w:val="1F7A73B0"/>
    <w:rsid w:val="1FEC5DE3"/>
    <w:rsid w:val="203C6C81"/>
    <w:rsid w:val="20C2786C"/>
    <w:rsid w:val="216B569C"/>
    <w:rsid w:val="21B84DEA"/>
    <w:rsid w:val="227A0BD4"/>
    <w:rsid w:val="22895CB1"/>
    <w:rsid w:val="22C32D0C"/>
    <w:rsid w:val="24266768"/>
    <w:rsid w:val="2446601B"/>
    <w:rsid w:val="245C50AD"/>
    <w:rsid w:val="24F237EA"/>
    <w:rsid w:val="25187931"/>
    <w:rsid w:val="26A51B85"/>
    <w:rsid w:val="26AC2125"/>
    <w:rsid w:val="26F22981"/>
    <w:rsid w:val="273A431D"/>
    <w:rsid w:val="277023F2"/>
    <w:rsid w:val="27A916DF"/>
    <w:rsid w:val="28784E51"/>
    <w:rsid w:val="28A17FAB"/>
    <w:rsid w:val="28E46123"/>
    <w:rsid w:val="2A4A63FC"/>
    <w:rsid w:val="2ABC2DAE"/>
    <w:rsid w:val="2B164643"/>
    <w:rsid w:val="2BA9053D"/>
    <w:rsid w:val="2BC31B12"/>
    <w:rsid w:val="2C9452EB"/>
    <w:rsid w:val="2D263425"/>
    <w:rsid w:val="2D3C7615"/>
    <w:rsid w:val="2D6551D4"/>
    <w:rsid w:val="2D6A7B01"/>
    <w:rsid w:val="2EA34C5B"/>
    <w:rsid w:val="2EF2289C"/>
    <w:rsid w:val="30902E8D"/>
    <w:rsid w:val="30CA361B"/>
    <w:rsid w:val="30DE4C21"/>
    <w:rsid w:val="32D86C4E"/>
    <w:rsid w:val="33D75A17"/>
    <w:rsid w:val="34725BB2"/>
    <w:rsid w:val="349D5B65"/>
    <w:rsid w:val="354E2453"/>
    <w:rsid w:val="367B065C"/>
    <w:rsid w:val="36EF03D4"/>
    <w:rsid w:val="38673403"/>
    <w:rsid w:val="388010D5"/>
    <w:rsid w:val="38D8673E"/>
    <w:rsid w:val="392F5481"/>
    <w:rsid w:val="39CE2D99"/>
    <w:rsid w:val="3A767844"/>
    <w:rsid w:val="3B192FCF"/>
    <w:rsid w:val="3E2D60F1"/>
    <w:rsid w:val="3F9148D8"/>
    <w:rsid w:val="406F449C"/>
    <w:rsid w:val="40DD3D9C"/>
    <w:rsid w:val="40EF111B"/>
    <w:rsid w:val="416B5898"/>
    <w:rsid w:val="418A600C"/>
    <w:rsid w:val="41FB5CCB"/>
    <w:rsid w:val="42D81B0E"/>
    <w:rsid w:val="44172647"/>
    <w:rsid w:val="45481527"/>
    <w:rsid w:val="46B1110C"/>
    <w:rsid w:val="46CB7519"/>
    <w:rsid w:val="474D0468"/>
    <w:rsid w:val="47DD1C80"/>
    <w:rsid w:val="48EB5263"/>
    <w:rsid w:val="49205835"/>
    <w:rsid w:val="4A5C58C5"/>
    <w:rsid w:val="4A8972BF"/>
    <w:rsid w:val="4AB22DEA"/>
    <w:rsid w:val="4DC41822"/>
    <w:rsid w:val="4E124970"/>
    <w:rsid w:val="4E2A0681"/>
    <w:rsid w:val="4FD73C6F"/>
    <w:rsid w:val="51157BF6"/>
    <w:rsid w:val="516A3980"/>
    <w:rsid w:val="52C9652F"/>
    <w:rsid w:val="55C029E5"/>
    <w:rsid w:val="55D2690C"/>
    <w:rsid w:val="56381D29"/>
    <w:rsid w:val="564175AD"/>
    <w:rsid w:val="578D0643"/>
    <w:rsid w:val="57C97174"/>
    <w:rsid w:val="57C97B6C"/>
    <w:rsid w:val="58945EE4"/>
    <w:rsid w:val="58B1429D"/>
    <w:rsid w:val="597B7723"/>
    <w:rsid w:val="59A9614A"/>
    <w:rsid w:val="5ACD2175"/>
    <w:rsid w:val="5B545327"/>
    <w:rsid w:val="5BD51E66"/>
    <w:rsid w:val="5C4B4EC6"/>
    <w:rsid w:val="5C76370E"/>
    <w:rsid w:val="5CAE0863"/>
    <w:rsid w:val="5D94737A"/>
    <w:rsid w:val="608775CD"/>
    <w:rsid w:val="60BF1F33"/>
    <w:rsid w:val="610060A8"/>
    <w:rsid w:val="61C450AF"/>
    <w:rsid w:val="62F769CC"/>
    <w:rsid w:val="632633AA"/>
    <w:rsid w:val="632A10BB"/>
    <w:rsid w:val="640E34A6"/>
    <w:rsid w:val="640F3FA7"/>
    <w:rsid w:val="649302CC"/>
    <w:rsid w:val="65623489"/>
    <w:rsid w:val="68BD6E6F"/>
    <w:rsid w:val="68E13F8E"/>
    <w:rsid w:val="694D543B"/>
    <w:rsid w:val="69743DF1"/>
    <w:rsid w:val="698866DB"/>
    <w:rsid w:val="69C84728"/>
    <w:rsid w:val="6A3E3FD1"/>
    <w:rsid w:val="6A7C5C6A"/>
    <w:rsid w:val="6A982E2D"/>
    <w:rsid w:val="6C697714"/>
    <w:rsid w:val="6CC97009"/>
    <w:rsid w:val="6D9975D2"/>
    <w:rsid w:val="6DDF0862"/>
    <w:rsid w:val="6E4A69B4"/>
    <w:rsid w:val="6F0243F1"/>
    <w:rsid w:val="6F6E45A8"/>
    <w:rsid w:val="6FDB3D5F"/>
    <w:rsid w:val="700A319F"/>
    <w:rsid w:val="703D4179"/>
    <w:rsid w:val="70532C89"/>
    <w:rsid w:val="707E04D0"/>
    <w:rsid w:val="708A4979"/>
    <w:rsid w:val="711B55A4"/>
    <w:rsid w:val="71487A6E"/>
    <w:rsid w:val="722C408A"/>
    <w:rsid w:val="72BD529B"/>
    <w:rsid w:val="730F79AA"/>
    <w:rsid w:val="73175147"/>
    <w:rsid w:val="731E2836"/>
    <w:rsid w:val="73A96A40"/>
    <w:rsid w:val="740A0190"/>
    <w:rsid w:val="747E5C5F"/>
    <w:rsid w:val="756B029C"/>
    <w:rsid w:val="757F718E"/>
    <w:rsid w:val="75811A54"/>
    <w:rsid w:val="765D3960"/>
    <w:rsid w:val="76911ADA"/>
    <w:rsid w:val="77EF1DAB"/>
    <w:rsid w:val="784B2F19"/>
    <w:rsid w:val="7863005C"/>
    <w:rsid w:val="7ABD0A9B"/>
    <w:rsid w:val="7B4749DB"/>
    <w:rsid w:val="7B8F076B"/>
    <w:rsid w:val="7BA8104C"/>
    <w:rsid w:val="7BF532C1"/>
    <w:rsid w:val="7C27552A"/>
    <w:rsid w:val="7CA20FA0"/>
    <w:rsid w:val="7CCC5B1C"/>
    <w:rsid w:val="7D743896"/>
    <w:rsid w:val="7D880E9F"/>
    <w:rsid w:val="7DAF40C4"/>
    <w:rsid w:val="7DC16CFD"/>
    <w:rsid w:val="7DFA7132"/>
    <w:rsid w:val="7FAD1C4C"/>
    <w:rsid w:val="7FD41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7">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3">
    <w:name w:val="Default Paragraph Font"/>
    <w:semiHidden/>
    <w:qFormat/>
    <w:uiPriority w:val="0"/>
  </w:style>
  <w:style w:type="table" w:default="1" w:styleId="22">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next w:val="4"/>
    <w:unhideWhenUsed/>
    <w:qFormat/>
    <w:uiPriority w:val="99"/>
    <w:pPr>
      <w:ind w:firstLine="420" w:firstLineChars="100"/>
    </w:pPr>
  </w:style>
  <w:style w:type="paragraph" w:styleId="3">
    <w:name w:val="Body Text"/>
    <w:basedOn w:val="1"/>
    <w:next w:val="1"/>
    <w:qFormat/>
    <w:uiPriority w:val="0"/>
    <w:pPr>
      <w:spacing w:after="120"/>
    </w:pPr>
    <w:rPr>
      <w:rFonts w:ascii="Times New Roman" w:hAnsi="Times New Roman" w:eastAsia="宋体" w:cs="Times New Roman"/>
      <w:szCs w:val="20"/>
    </w:rPr>
  </w:style>
  <w:style w:type="paragraph" w:styleId="4">
    <w:name w:val="Body Text First Indent 2"/>
    <w:basedOn w:val="5"/>
    <w:unhideWhenUsed/>
    <w:qFormat/>
    <w:uiPriority w:val="99"/>
    <w:pPr>
      <w:spacing w:after="120" w:line="240" w:lineRule="auto"/>
      <w:ind w:left="420" w:leftChars="200" w:firstLine="420" w:firstLineChars="200"/>
    </w:pPr>
  </w:style>
  <w:style w:type="paragraph" w:styleId="5">
    <w:name w:val="Body Text Indent"/>
    <w:basedOn w:val="1"/>
    <w:unhideWhenUsed/>
    <w:qFormat/>
    <w:uiPriority w:val="99"/>
    <w:pPr>
      <w:spacing w:line="312" w:lineRule="auto"/>
      <w:ind w:firstLine="735" w:firstLineChars="245"/>
    </w:pPr>
  </w:style>
  <w:style w:type="paragraph" w:styleId="8">
    <w:name w:val="List 2"/>
    <w:basedOn w:val="1"/>
    <w:qFormat/>
    <w:uiPriority w:val="0"/>
    <w:pPr>
      <w:ind w:left="100" w:leftChars="200" w:hanging="200" w:hangingChars="2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character" w:styleId="14">
    <w:name w:val="FollowedHyperlink"/>
    <w:basedOn w:val="13"/>
    <w:qFormat/>
    <w:uiPriority w:val="0"/>
    <w:rPr>
      <w:color w:val="333333"/>
      <w:u w:val="none"/>
    </w:rPr>
  </w:style>
  <w:style w:type="character" w:styleId="15">
    <w:name w:val="Emphasis"/>
    <w:basedOn w:val="13"/>
    <w:qFormat/>
    <w:uiPriority w:val="0"/>
  </w:style>
  <w:style w:type="character" w:styleId="16">
    <w:name w:val="HTML Definition"/>
    <w:basedOn w:val="13"/>
    <w:qFormat/>
    <w:uiPriority w:val="0"/>
  </w:style>
  <w:style w:type="character" w:styleId="17">
    <w:name w:val="HTML Acronym"/>
    <w:basedOn w:val="13"/>
    <w:qFormat/>
    <w:uiPriority w:val="0"/>
  </w:style>
  <w:style w:type="character" w:styleId="18">
    <w:name w:val="HTML Variable"/>
    <w:basedOn w:val="13"/>
    <w:qFormat/>
    <w:uiPriority w:val="0"/>
  </w:style>
  <w:style w:type="character" w:styleId="19">
    <w:name w:val="Hyperlink"/>
    <w:basedOn w:val="13"/>
    <w:qFormat/>
    <w:uiPriority w:val="0"/>
    <w:rPr>
      <w:color w:val="333333"/>
      <w:u w:val="none"/>
    </w:rPr>
  </w:style>
  <w:style w:type="character" w:styleId="20">
    <w:name w:val="HTML Code"/>
    <w:basedOn w:val="13"/>
    <w:qFormat/>
    <w:uiPriority w:val="0"/>
    <w:rPr>
      <w:rFonts w:ascii="Courier New" w:hAnsi="Courier New"/>
      <w:sz w:val="20"/>
    </w:rPr>
  </w:style>
  <w:style w:type="character" w:styleId="21">
    <w:name w:val="HTML Cite"/>
    <w:basedOn w:val="13"/>
    <w:qFormat/>
    <w:uiPriority w:val="0"/>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character" w:customStyle="1" w:styleId="24">
    <w:name w:val="hover7"/>
    <w:basedOn w:val="13"/>
    <w:qFormat/>
    <w:uiPriority w:val="0"/>
  </w:style>
  <w:style w:type="character" w:customStyle="1" w:styleId="25">
    <w:name w:val="hover6"/>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14651</Words>
  <Characters>17378</Characters>
  <Lines>0</Lines>
  <Paragraphs>0</Paragraphs>
  <TotalTime>1</TotalTime>
  <ScaleCrop>false</ScaleCrop>
  <LinksUpToDate>false</LinksUpToDate>
  <CharactersWithSpaces>17817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2021-03-18T02:22:00Z</dcterms:created>
  <dc:creator>楷裕</dc:creator>
  <cp:lastModifiedBy>MrA1414122605</cp:lastModifiedBy>
  <dcterms:modified xsi:type="dcterms:W3CDTF">2021-04-19T03:22:21Z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537B5C69034041E484C59BBA10E9B88F</vt:lpwstr>
  </property>
</Properties>
</file>